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1BFD34A2"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E45277">
        <w:rPr>
          <w:rFonts w:ascii="Arial" w:eastAsia="Batang" w:hAnsi="Arial" w:cs="Arial"/>
          <w:b/>
          <w:bCs/>
          <w:szCs w:val="22"/>
        </w:rPr>
        <w:t>10</w:t>
      </w:r>
      <w:r w:rsidR="0092617A">
        <w:rPr>
          <w:rFonts w:ascii="Arial" w:eastAsia="Batang" w:hAnsi="Arial" w:cs="Arial"/>
          <w:b/>
          <w:bCs/>
          <w:szCs w:val="22"/>
        </w:rPr>
        <w:t>9</w:t>
      </w:r>
      <w:r w:rsidR="0057251F">
        <w:rPr>
          <w:rFonts w:ascii="Arial" w:eastAsia="Batang" w:hAnsi="Arial" w:cs="Arial"/>
          <w:b/>
          <w:bCs/>
          <w:szCs w:val="22"/>
        </w:rPr>
        <w:t>-</w:t>
      </w:r>
      <w:r w:rsidR="00FC1D53">
        <w:rPr>
          <w:rFonts w:ascii="Arial" w:eastAsia="Batang" w:hAnsi="Arial" w:cs="Arial"/>
          <w:b/>
          <w:bCs/>
          <w:szCs w:val="22"/>
        </w:rPr>
        <w:t>e</w:t>
      </w:r>
      <w:r w:rsidR="00855F39" w:rsidRPr="00074926">
        <w:rPr>
          <w:rFonts w:ascii="Arial" w:eastAsia="Batang" w:hAnsi="Arial" w:cs="Arial"/>
          <w:b/>
          <w:bCs/>
          <w:szCs w:val="22"/>
        </w:rPr>
        <w:tab/>
      </w:r>
      <w:r w:rsidR="00855F39" w:rsidRPr="00074926">
        <w:rPr>
          <w:rFonts w:ascii="Arial" w:eastAsia="Batang" w:hAnsi="Arial" w:cs="Arial"/>
          <w:b/>
          <w:bCs/>
          <w:szCs w:val="22"/>
        </w:rPr>
        <w:tab/>
      </w:r>
      <w:r w:rsidR="00EC7C15" w:rsidRPr="00EC7C15">
        <w:rPr>
          <w:rFonts w:ascii="Arial" w:eastAsia="Batang" w:hAnsi="Arial" w:cs="Arial"/>
          <w:b/>
          <w:bCs/>
          <w:szCs w:val="22"/>
        </w:rPr>
        <w:t>R1-2203732</w:t>
      </w:r>
    </w:p>
    <w:p w14:paraId="3B0F6453" w14:textId="6D840AC0"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92617A">
        <w:rPr>
          <w:rFonts w:ascii="Arial" w:eastAsia="MS Mincho" w:hAnsi="Arial" w:cs="Arial"/>
          <w:b/>
          <w:bCs/>
          <w:szCs w:val="22"/>
          <w:lang w:eastAsia="ja-JP"/>
        </w:rPr>
        <w:t>May 9</w:t>
      </w:r>
      <w:r w:rsidR="0092617A" w:rsidRPr="0092617A">
        <w:rPr>
          <w:rFonts w:ascii="Arial" w:eastAsia="MS Mincho" w:hAnsi="Arial" w:cs="Arial"/>
          <w:b/>
          <w:bCs/>
          <w:szCs w:val="22"/>
          <w:vertAlign w:val="superscript"/>
          <w:lang w:eastAsia="ja-JP"/>
        </w:rPr>
        <w:t>th</w:t>
      </w:r>
      <w:r w:rsidR="0092617A">
        <w:rPr>
          <w:rFonts w:ascii="Arial" w:eastAsia="MS Mincho" w:hAnsi="Arial" w:cs="Arial"/>
          <w:b/>
          <w:bCs/>
          <w:szCs w:val="22"/>
          <w:lang w:eastAsia="ja-JP"/>
        </w:rPr>
        <w:t xml:space="preserve"> – 20</w:t>
      </w:r>
      <w:r w:rsidR="0092617A" w:rsidRPr="0092617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491473">
        <w:rPr>
          <w:rFonts w:ascii="Arial" w:eastAsia="MS Mincho" w:hAnsi="Arial" w:cs="Arial"/>
          <w:b/>
          <w:bCs/>
          <w:szCs w:val="22"/>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27672C1"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881BB8">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D1E4D10"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881BB8" w:rsidRPr="00881BB8">
        <w:rPr>
          <w:b/>
          <w:color w:val="000000"/>
          <w:lang w:val="en-US"/>
        </w:rPr>
        <w:t>Adjacent Channel Interference in non-overlapping subband Full Duplex TDD 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1C1838DF" w:rsidR="00675401" w:rsidRDefault="0092617A" w:rsidP="0092617A">
      <w:pPr>
        <w:rPr>
          <w:rFonts w:eastAsia="MS Mincho"/>
          <w:lang w:val="en-US"/>
        </w:rPr>
      </w:pPr>
      <w:r>
        <w:rPr>
          <w:rFonts w:eastAsia="MS Mincho"/>
          <w:lang w:val="en-US"/>
        </w:rPr>
        <w:t>A</w:t>
      </w:r>
      <w:r w:rsidR="00B713AF">
        <w:rPr>
          <w:rFonts w:eastAsia="MS Mincho"/>
          <w:lang w:val="en-US"/>
        </w:rPr>
        <w:t>n</w:t>
      </w:r>
      <w:r>
        <w:rPr>
          <w:rFonts w:eastAsia="MS Mincho"/>
          <w:lang w:val="en-US"/>
        </w:rPr>
        <w:t xml:space="preserve"> SI </w:t>
      </w:r>
      <w:r w:rsidR="00B713AF">
        <w:rPr>
          <w:rFonts w:eastAsia="MS Mincho"/>
          <w:lang w:val="en-US"/>
        </w:rPr>
        <w:t xml:space="preserve">on Duplex Evolution </w:t>
      </w:r>
      <w:r w:rsidR="009C1C66">
        <w:rPr>
          <w:rFonts w:eastAsia="MS Mincho"/>
          <w:lang w:val="en-US"/>
        </w:rPr>
        <w:t xml:space="preserve">is agreed in RAN#94-e to identify solutions for </w:t>
      </w:r>
      <w:r w:rsidR="003D7D15">
        <w:rPr>
          <w:rFonts w:eastAsia="MS Mincho"/>
          <w:lang w:val="en-US"/>
        </w:rPr>
        <w:t>full duplex TDD.  One of the objectives is</w:t>
      </w:r>
      <w:r w:rsidR="005D59D4">
        <w:rPr>
          <w:rFonts w:eastAsia="MS Mincho"/>
          <w:lang w:val="en-US"/>
        </w:rPr>
        <w:t xml:space="preserve"> [1]</w:t>
      </w:r>
      <w:r w:rsidR="003D7D15">
        <w:rPr>
          <w:rFonts w:eastAsia="MS Mincho"/>
          <w:lang w:val="en-US"/>
        </w:rPr>
        <w:t>:</w:t>
      </w:r>
    </w:p>
    <w:p w14:paraId="001DBE03" w14:textId="7A2B456D" w:rsidR="003D7D15" w:rsidRDefault="003D7D15" w:rsidP="003D7D15">
      <w:pPr>
        <w:pStyle w:val="ListParagraph"/>
        <w:numPr>
          <w:ilvl w:val="0"/>
          <w:numId w:val="36"/>
        </w:numPr>
        <w:rPr>
          <w:rFonts w:eastAsia="MS Mincho"/>
          <w:lang w:val="en-US"/>
        </w:rPr>
      </w:pPr>
      <w:r w:rsidRPr="003D7D15">
        <w:rPr>
          <w:rFonts w:eastAsia="MS Mincho"/>
          <w:lang w:val="en-US"/>
        </w:rPr>
        <w:t>Study the subband non-overlapping full duplex and potential enhancements on dynamic/flexible TDD</w:t>
      </w:r>
    </w:p>
    <w:p w14:paraId="27C34A8A" w14:textId="6B0CA6F2" w:rsidR="00ED08E5" w:rsidRDefault="00ED08E5" w:rsidP="00ED08E5">
      <w:pPr>
        <w:pStyle w:val="ListParagraph"/>
        <w:numPr>
          <w:ilvl w:val="1"/>
          <w:numId w:val="36"/>
        </w:numPr>
        <w:overflowPunct w:val="0"/>
        <w:autoSpaceDE w:val="0"/>
        <w:autoSpaceDN w:val="0"/>
        <w:adjustRightInd w:val="0"/>
        <w:spacing w:after="180"/>
        <w:jc w:val="both"/>
        <w:textAlignment w:val="baseline"/>
        <w:rPr>
          <w:rFonts w:eastAsia="Malgun Gothic"/>
          <w:bCs/>
          <w:lang w:eastAsia="ko-KR"/>
        </w:rPr>
      </w:pPr>
      <w:r w:rsidRPr="00621560">
        <w:rPr>
          <w:rFonts w:eastAsia="Malgun Gothic"/>
          <w:bCs/>
          <w:lang w:eastAsia="ko-KR"/>
        </w:rPr>
        <w:t xml:space="preserve">Study inter-gNB and inter-UE CLI </w:t>
      </w:r>
      <w:r>
        <w:rPr>
          <w:rFonts w:eastAsia="Malgun Gothic"/>
          <w:bCs/>
          <w:lang w:eastAsia="ko-KR"/>
        </w:rPr>
        <w:t xml:space="preserve">handling </w:t>
      </w:r>
      <w:r w:rsidRPr="00621560">
        <w:rPr>
          <w:rFonts w:eastAsia="Malgun Gothic"/>
          <w:bCs/>
          <w:lang w:eastAsia="ko-KR"/>
        </w:rPr>
        <w:t>and identify solutions to manage them</w:t>
      </w:r>
      <w:r>
        <w:rPr>
          <w:rFonts w:eastAsia="Malgun Gothic"/>
          <w:bCs/>
          <w:lang w:eastAsia="ko-KR"/>
        </w:rPr>
        <w:t xml:space="preserve">. </w:t>
      </w:r>
    </w:p>
    <w:p w14:paraId="0A0F5CB7" w14:textId="77777777" w:rsidR="00ED08E5" w:rsidRPr="000D5D52" w:rsidRDefault="00ED08E5" w:rsidP="00ED08E5">
      <w:pPr>
        <w:pStyle w:val="ListParagraph"/>
        <w:numPr>
          <w:ilvl w:val="2"/>
          <w:numId w:val="36"/>
        </w:numPr>
        <w:overflowPunct w:val="0"/>
        <w:autoSpaceDE w:val="0"/>
        <w:autoSpaceDN w:val="0"/>
        <w:adjustRightInd w:val="0"/>
        <w:spacing w:after="180"/>
        <w:jc w:val="both"/>
        <w:textAlignment w:val="baseline"/>
        <w:rPr>
          <w:rFonts w:eastAsia="Malgun Gothic"/>
          <w:bCs/>
          <w:lang w:eastAsia="ko-KR"/>
        </w:rPr>
      </w:pPr>
      <w:r w:rsidRPr="000D5D52">
        <w:rPr>
          <w:rFonts w:eastAsia="Malgun Gothic"/>
          <w:bCs/>
          <w:lang w:eastAsia="ko-KR"/>
        </w:rPr>
        <w:t xml:space="preserve">Consider intra-subband CLI and inter-subband CLI in case of the </w:t>
      </w:r>
      <w:r w:rsidRPr="000D5D52">
        <w:rPr>
          <w:rFonts w:eastAsia="Malgun Gothic"/>
          <w:lang w:val="en-US" w:eastAsia="ko-KR"/>
        </w:rPr>
        <w:t>subband non-overlapping full duplex</w:t>
      </w:r>
      <w:r w:rsidRPr="000D5D52">
        <w:rPr>
          <w:rFonts w:eastAsia="Malgun Gothic"/>
          <w:bCs/>
          <w:lang w:eastAsia="ko-KR"/>
        </w:rPr>
        <w:t>.</w:t>
      </w:r>
    </w:p>
    <w:p w14:paraId="2AC4AE7D" w14:textId="77777777" w:rsidR="000079FC" w:rsidRDefault="000079FC" w:rsidP="004D5BF4">
      <w:pPr>
        <w:rPr>
          <w:rFonts w:eastAsia="MS Mincho"/>
          <w:lang w:val="en-US"/>
        </w:rPr>
      </w:pPr>
    </w:p>
    <w:p w14:paraId="3FD1ACF7" w14:textId="4FF1BE1F" w:rsidR="00D913CE" w:rsidRDefault="003D7D15" w:rsidP="004D5BF4">
      <w:pPr>
        <w:rPr>
          <w:rFonts w:eastAsia="MS Mincho"/>
          <w:lang w:val="en-US"/>
        </w:rPr>
      </w:pPr>
      <w:r>
        <w:rPr>
          <w:rFonts w:eastAsia="MS Mincho"/>
          <w:lang w:val="en-US"/>
        </w:rPr>
        <w:t xml:space="preserve">This contribution discusses some considerations on </w:t>
      </w:r>
      <w:r w:rsidR="000079FC">
        <w:rPr>
          <w:rFonts w:eastAsia="MS Mincho"/>
          <w:lang w:val="en-US"/>
        </w:rPr>
        <w:t>using non-overlapping subbands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14D11EA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p>
    <w:p w14:paraId="26484098" w14:textId="25D6AB78" w:rsidR="0029599B" w:rsidRDefault="008B3175" w:rsidP="0029599B">
      <w:pPr>
        <w:pStyle w:val="Heading2"/>
        <w:numPr>
          <w:ilvl w:val="1"/>
          <w:numId w:val="5"/>
        </w:numPr>
        <w:rPr>
          <w:lang w:eastAsia="zh-CN"/>
        </w:rPr>
      </w:pPr>
      <w:r>
        <w:rPr>
          <w:lang w:eastAsia="zh-CN"/>
        </w:rPr>
        <w:t>Full Duplex TDD</w:t>
      </w:r>
    </w:p>
    <w:p w14:paraId="1A448675" w14:textId="56A8D6E0" w:rsidR="00F74C5A" w:rsidRDefault="00F74C5A" w:rsidP="009C1C66">
      <w:pPr>
        <w:spacing w:after="0"/>
        <w:rPr>
          <w:lang w:val="en-US"/>
        </w:rPr>
      </w:pPr>
      <w:r>
        <w:rPr>
          <w:rFonts w:eastAsia="Batang" w:cstheme="minorHAnsi"/>
          <w:lang w:eastAsia="zh-CN"/>
        </w:rPr>
        <w:t>Currently, TDD operates in Half Duplex (HD) mode where the gNB or UE can either transmit or receive but not at the same time</w:t>
      </w:r>
      <w:r>
        <w:rPr>
          <w:lang w:val="en-US"/>
        </w:rPr>
        <w:t>.  In TDD, the time resources are split between UL and DL where typically more time resources are allocated in the DL, which faces the following drawbacks:</w:t>
      </w:r>
    </w:p>
    <w:p w14:paraId="59B61C76" w14:textId="3A6EC6D7" w:rsidR="00F74C5A" w:rsidRDefault="00F74C5A" w:rsidP="009C1C66">
      <w:pPr>
        <w:spacing w:after="0"/>
        <w:rPr>
          <w:lang w:val="en-US"/>
        </w:rPr>
      </w:pPr>
    </w:p>
    <w:p w14:paraId="46CEF621" w14:textId="0C0787F7" w:rsidR="00F74C5A" w:rsidRDefault="00F74C5A" w:rsidP="00F74C5A">
      <w:pPr>
        <w:pStyle w:val="ListParagraph"/>
        <w:numPr>
          <w:ilvl w:val="0"/>
          <w:numId w:val="36"/>
        </w:numPr>
        <w:spacing w:after="0"/>
        <w:rPr>
          <w:lang w:val="en-US"/>
        </w:rPr>
      </w:pPr>
      <w:r w:rsidRPr="006815EA">
        <w:rPr>
          <w:b/>
          <w:bCs/>
          <w:lang w:val="en-US"/>
        </w:rPr>
        <w:t>Latency</w:t>
      </w:r>
      <w:r>
        <w:rPr>
          <w:lang w:val="en-US"/>
        </w:rPr>
        <w:t xml:space="preserve">: Since a UE cannot transmit in DL resources, a UE that has </w:t>
      </w:r>
      <w:r w:rsidR="005F4923">
        <w:rPr>
          <w:lang w:val="en-US"/>
        </w:rPr>
        <w:t xml:space="preserve">pending </w:t>
      </w:r>
      <w:r>
        <w:rPr>
          <w:lang w:val="en-US"/>
        </w:rPr>
        <w:t>uplink transmission</w:t>
      </w:r>
      <w:r w:rsidR="005F4923">
        <w:rPr>
          <w:lang w:val="en-US"/>
        </w:rPr>
        <w:t>s</w:t>
      </w:r>
      <w:r>
        <w:rPr>
          <w:lang w:val="en-US"/>
        </w:rPr>
        <w:t xml:space="preserve"> during a DL time resource (slot or OFDM symbols)</w:t>
      </w:r>
      <w:r w:rsidR="001F6322">
        <w:rPr>
          <w:lang w:val="en-US"/>
        </w:rPr>
        <w:t>,</w:t>
      </w:r>
      <w:r>
        <w:rPr>
          <w:lang w:val="en-US"/>
        </w:rPr>
        <w:t xml:space="preserve"> has to delay its uplink transmission until an UL </w:t>
      </w:r>
      <w:r w:rsidR="006815EA">
        <w:rPr>
          <w:lang w:val="en-US"/>
        </w:rPr>
        <w:t xml:space="preserve">time </w:t>
      </w:r>
      <w:r>
        <w:rPr>
          <w:lang w:val="en-US"/>
        </w:rPr>
        <w:t xml:space="preserve">resource </w:t>
      </w:r>
      <w:r w:rsidR="00F0254A">
        <w:rPr>
          <w:lang w:val="en-US"/>
        </w:rPr>
        <w:t xml:space="preserve">is </w:t>
      </w:r>
      <w:r w:rsidR="006815EA">
        <w:rPr>
          <w:lang w:val="en-US"/>
        </w:rPr>
        <w:t>available</w:t>
      </w:r>
      <w:r w:rsidR="00F0254A">
        <w:rPr>
          <w:lang w:val="en-US"/>
        </w:rPr>
        <w:t>,</w:t>
      </w:r>
      <w:r w:rsidR="006815EA">
        <w:rPr>
          <w:lang w:val="en-US"/>
        </w:rPr>
        <w:t xml:space="preserve"> thereby introducing latency.</w:t>
      </w:r>
    </w:p>
    <w:p w14:paraId="08136ED0" w14:textId="0F722F52" w:rsidR="006815EA" w:rsidRDefault="006815EA" w:rsidP="00F74C5A">
      <w:pPr>
        <w:pStyle w:val="ListParagraph"/>
        <w:numPr>
          <w:ilvl w:val="0"/>
          <w:numId w:val="36"/>
        </w:numPr>
        <w:spacing w:after="0"/>
        <w:rPr>
          <w:lang w:val="en-US"/>
        </w:rPr>
      </w:pPr>
      <w:r w:rsidRPr="00993A37">
        <w:rPr>
          <w:b/>
          <w:bCs/>
          <w:lang w:val="en-US"/>
        </w:rPr>
        <w:t>Resource utilization</w:t>
      </w:r>
      <w:r>
        <w:rPr>
          <w:lang w:val="en-US"/>
        </w:rPr>
        <w:t xml:space="preserve">: </w:t>
      </w:r>
      <w:r w:rsidR="00993A37">
        <w:rPr>
          <w:lang w:val="en-US"/>
        </w:rPr>
        <w:t>Since the entire frequency bandwidth can only be DL or UL in a cell, if a link, e.g. DL, has very little traffic, the resource would be underutilized as it cannot be used to alleviate</w:t>
      </w:r>
      <w:r w:rsidR="00807288">
        <w:rPr>
          <w:lang w:val="en-US"/>
        </w:rPr>
        <w:t xml:space="preserve"> congestion in</w:t>
      </w:r>
      <w:r w:rsidR="00993A37">
        <w:rPr>
          <w:lang w:val="en-US"/>
        </w:rPr>
        <w:t xml:space="preserve"> the UL traffic.</w:t>
      </w:r>
    </w:p>
    <w:p w14:paraId="22187A74" w14:textId="7AE53654" w:rsidR="00F74C5A" w:rsidRPr="000020B3" w:rsidRDefault="00993A37" w:rsidP="002C2C63">
      <w:pPr>
        <w:pStyle w:val="ListParagraph"/>
        <w:numPr>
          <w:ilvl w:val="0"/>
          <w:numId w:val="36"/>
        </w:numPr>
        <w:spacing w:after="0"/>
        <w:rPr>
          <w:lang w:val="en-US"/>
        </w:rPr>
      </w:pPr>
      <w:r w:rsidRPr="000020B3">
        <w:rPr>
          <w:b/>
          <w:bCs/>
          <w:lang w:val="en-US"/>
        </w:rPr>
        <w:t>UL coverage</w:t>
      </w:r>
      <w:r w:rsidRPr="000020B3">
        <w:rPr>
          <w:lang w:val="en-US"/>
        </w:rPr>
        <w:t>:</w:t>
      </w:r>
      <w:r w:rsidR="000020B3" w:rsidRPr="000020B3">
        <w:rPr>
          <w:lang w:val="en-US"/>
        </w:rPr>
        <w:t xml:space="preserve"> A typical DL:UL time resource split is DL heavy thereby causing sparse UL resource.  Coverage enhancement schemes that use repetitions in the UL may not have sufficient UL resource for the UL repetitions within an acceptable late</w:t>
      </w:r>
      <w:r w:rsidR="000020B3">
        <w:rPr>
          <w:lang w:val="en-US"/>
        </w:rPr>
        <w:t>n</w:t>
      </w:r>
      <w:r w:rsidR="000020B3" w:rsidRPr="000020B3">
        <w:rPr>
          <w:lang w:val="en-US"/>
        </w:rPr>
        <w:t>cy.</w:t>
      </w:r>
      <w:r w:rsidR="00C05D39">
        <w:rPr>
          <w:lang w:val="en-US"/>
        </w:rPr>
        <w:t xml:space="preserve"> Hence this may have </w:t>
      </w:r>
      <w:r w:rsidR="001F6322">
        <w:rPr>
          <w:lang w:val="en-US"/>
        </w:rPr>
        <w:t xml:space="preserve">an </w:t>
      </w:r>
      <w:r w:rsidR="00C05D39">
        <w:rPr>
          <w:lang w:val="en-US"/>
        </w:rPr>
        <w:t xml:space="preserve">impact </w:t>
      </w:r>
      <w:r w:rsidR="00807288">
        <w:rPr>
          <w:lang w:val="en-US"/>
        </w:rPr>
        <w:t xml:space="preserve">on </w:t>
      </w:r>
      <w:r w:rsidR="00C05D39">
        <w:rPr>
          <w:lang w:val="en-US"/>
        </w:rPr>
        <w:t>UL coverage.</w:t>
      </w:r>
      <w:r w:rsidR="000020B3" w:rsidRPr="000020B3">
        <w:rPr>
          <w:lang w:val="en-US"/>
        </w:rPr>
        <w:t xml:space="preserve"> </w:t>
      </w:r>
    </w:p>
    <w:p w14:paraId="64097880" w14:textId="77777777" w:rsidR="006815EA" w:rsidRDefault="006815EA" w:rsidP="009C1C66">
      <w:pPr>
        <w:spacing w:after="0"/>
        <w:rPr>
          <w:lang w:val="en-US"/>
        </w:rPr>
      </w:pPr>
    </w:p>
    <w:p w14:paraId="4C71C78C" w14:textId="77777777" w:rsidR="006815EA" w:rsidRDefault="006815EA" w:rsidP="009C1C66">
      <w:pPr>
        <w:spacing w:after="0"/>
        <w:rPr>
          <w:lang w:val="en-US"/>
        </w:rPr>
      </w:pPr>
    </w:p>
    <w:p w14:paraId="4E7D7D14" w14:textId="41F681A5" w:rsidR="00C71910" w:rsidRDefault="002F2D28" w:rsidP="009C1C66">
      <w:pPr>
        <w:spacing w:after="0"/>
        <w:rPr>
          <w:lang w:val="en-US"/>
        </w:rPr>
      </w:pPr>
      <w:r>
        <w:rPr>
          <w:lang w:val="en-US"/>
        </w:rPr>
        <w:t>Recognizing</w:t>
      </w:r>
      <w:r w:rsidR="004A1339">
        <w:rPr>
          <w:lang w:val="en-US"/>
        </w:rPr>
        <w:t xml:space="preserve"> the</w:t>
      </w:r>
      <w:r w:rsidR="00BF2DF5">
        <w:rPr>
          <w:lang w:val="en-US"/>
        </w:rPr>
        <w:t>se</w:t>
      </w:r>
      <w:r w:rsidR="004A1339">
        <w:rPr>
          <w:lang w:val="en-US"/>
        </w:rPr>
        <w:t xml:space="preserve"> drawbacks </w:t>
      </w:r>
      <w:r w:rsidR="00F0254A">
        <w:rPr>
          <w:lang w:val="en-US"/>
        </w:rPr>
        <w:t>in</w:t>
      </w:r>
      <w:r w:rsidR="004A1339">
        <w:rPr>
          <w:lang w:val="en-US"/>
        </w:rPr>
        <w:t xml:space="preserve"> HD</w:t>
      </w:r>
      <w:r w:rsidR="008E7237">
        <w:rPr>
          <w:lang w:val="en-US"/>
        </w:rPr>
        <w:t>-</w:t>
      </w:r>
      <w:r w:rsidR="004A1339">
        <w:rPr>
          <w:lang w:val="en-US"/>
        </w:rPr>
        <w:t xml:space="preserve">TDD, </w:t>
      </w:r>
      <w:r w:rsidR="00C03A9B">
        <w:rPr>
          <w:lang w:val="en-US"/>
        </w:rPr>
        <w:t>a</w:t>
      </w:r>
      <w:r w:rsidR="00807288">
        <w:rPr>
          <w:lang w:val="en-US"/>
        </w:rPr>
        <w:t>n</w:t>
      </w:r>
      <w:r w:rsidR="00C03A9B">
        <w:rPr>
          <w:lang w:val="en-US"/>
        </w:rPr>
        <w:t xml:space="preserve"> SI on Duplex Evolution to study solutions for Full Duplex TDD (</w:t>
      </w:r>
      <w:r w:rsidR="0008721F">
        <w:rPr>
          <w:lang w:val="en-US"/>
        </w:rPr>
        <w:t>FD-TDD</w:t>
      </w:r>
      <w:r w:rsidR="00C03A9B">
        <w:rPr>
          <w:lang w:val="en-US"/>
        </w:rPr>
        <w:t xml:space="preserve">) is agreed [1].  FD-TDD enables simultaneous UL &amp; DL transmissions in the same frequency </w:t>
      </w:r>
      <w:r w:rsidR="00E046B6">
        <w:rPr>
          <w:lang w:val="en-US"/>
        </w:rPr>
        <w:t>band,</w:t>
      </w:r>
      <w:r w:rsidR="00C03A9B">
        <w:rPr>
          <w:lang w:val="en-US"/>
        </w:rPr>
        <w:t xml:space="preserve"> and this would </w:t>
      </w:r>
      <w:r w:rsidR="00E046B6">
        <w:rPr>
          <w:lang w:val="en-US"/>
        </w:rPr>
        <w:t>reduce the drawbacks identified in HD TDD.</w:t>
      </w:r>
      <w:r w:rsidR="00F0254A">
        <w:rPr>
          <w:lang w:val="en-US"/>
        </w:rPr>
        <w:t xml:space="preserve">  In this SI, we assume that only the gNB operates in </w:t>
      </w:r>
      <w:r w:rsidR="0008721F">
        <w:rPr>
          <w:lang w:val="en-US"/>
        </w:rPr>
        <w:t>FD-TDD</w:t>
      </w:r>
      <w:r w:rsidR="00B73E7C">
        <w:rPr>
          <w:lang w:val="en-US"/>
        </w:rPr>
        <w:t xml:space="preserve"> whilst the UE operates in </w:t>
      </w:r>
      <w:r w:rsidR="0008721F">
        <w:rPr>
          <w:lang w:val="en-US"/>
        </w:rPr>
        <w:t>HD-</w:t>
      </w:r>
      <w:r w:rsidR="00B73E7C">
        <w:rPr>
          <w:lang w:val="en-US"/>
        </w:rPr>
        <w:t xml:space="preserve">TDD, that is, the complexity </w:t>
      </w:r>
      <w:r w:rsidR="003C6D41">
        <w:rPr>
          <w:lang w:val="en-US"/>
        </w:rPr>
        <w:t xml:space="preserve">to implement </w:t>
      </w:r>
      <w:r w:rsidR="0008721F">
        <w:rPr>
          <w:lang w:val="en-US"/>
        </w:rPr>
        <w:t>FD-TDD</w:t>
      </w:r>
      <w:r w:rsidR="003C6D41">
        <w:rPr>
          <w:lang w:val="en-US"/>
        </w:rPr>
        <w:t xml:space="preserve"> in Rel-18 is mostly at the gNB.</w:t>
      </w:r>
    </w:p>
    <w:p w14:paraId="51915E6D" w14:textId="259192F5" w:rsidR="00E11B8F" w:rsidRDefault="00E11B8F" w:rsidP="009C1C66">
      <w:pPr>
        <w:spacing w:after="0"/>
        <w:rPr>
          <w:lang w:val="en-US"/>
        </w:rPr>
      </w:pPr>
    </w:p>
    <w:p w14:paraId="5CBF85DD" w14:textId="77777777" w:rsidR="00147203" w:rsidRDefault="00147203" w:rsidP="009C1C66">
      <w:pPr>
        <w:spacing w:after="0"/>
        <w:rPr>
          <w:lang w:val="en-US"/>
        </w:rPr>
      </w:pPr>
    </w:p>
    <w:p w14:paraId="26D308C4" w14:textId="77777777" w:rsidR="00134478" w:rsidRDefault="00134478" w:rsidP="00134478">
      <w:pPr>
        <w:pStyle w:val="Heading2"/>
        <w:numPr>
          <w:ilvl w:val="1"/>
          <w:numId w:val="5"/>
        </w:numPr>
        <w:rPr>
          <w:lang w:eastAsia="zh-CN"/>
        </w:rPr>
      </w:pPr>
      <w:r>
        <w:rPr>
          <w:lang w:eastAsia="zh-CN"/>
        </w:rPr>
        <w:t>Intra-Cell Cross Link Interference</w:t>
      </w:r>
    </w:p>
    <w:p w14:paraId="09040DF0" w14:textId="0D1A00C0" w:rsidR="00134478" w:rsidRDefault="00134478" w:rsidP="00134478">
      <w:pPr>
        <w:spacing w:after="0"/>
        <w:rPr>
          <w:rFonts w:eastAsia="Batang" w:cstheme="minorHAnsi"/>
          <w:lang w:eastAsia="zh-CN"/>
        </w:rPr>
      </w:pPr>
      <w:r>
        <w:rPr>
          <w:rFonts w:eastAsia="Batang" w:cstheme="minorHAnsi"/>
          <w:lang w:eastAsia="zh-CN"/>
        </w:rPr>
        <w:t xml:space="preserve">In addition to inter-cell Cross Link Interference, </w:t>
      </w:r>
      <w:r w:rsidR="0008721F">
        <w:rPr>
          <w:rFonts w:eastAsia="Batang" w:cstheme="minorHAnsi"/>
          <w:lang w:eastAsia="zh-CN"/>
        </w:rPr>
        <w:t>FD-TDD</w:t>
      </w:r>
      <w:r>
        <w:rPr>
          <w:rFonts w:eastAsia="Batang" w:cstheme="minorHAnsi"/>
          <w:lang w:eastAsia="zh-CN"/>
        </w:rPr>
        <w:t xml:space="preserve"> also suffers from intra-cell Cross Link Interference (CLI).  The intra-cell CLI’s, for </w:t>
      </w:r>
      <w:r w:rsidR="0008721F">
        <w:rPr>
          <w:rFonts w:eastAsia="Batang" w:cstheme="minorHAnsi"/>
          <w:lang w:eastAsia="zh-CN"/>
        </w:rPr>
        <w:t>FD-TDD</w:t>
      </w:r>
      <w:r>
        <w:rPr>
          <w:rFonts w:eastAsia="Batang" w:cstheme="minorHAnsi"/>
          <w:lang w:eastAsia="zh-CN"/>
        </w:rPr>
        <w:t xml:space="preserve"> gNB and </w:t>
      </w:r>
      <w:r w:rsidR="0008721F">
        <w:rPr>
          <w:rFonts w:eastAsia="Batang" w:cstheme="minorHAnsi"/>
          <w:lang w:eastAsia="zh-CN"/>
        </w:rPr>
        <w:t>HD-</w:t>
      </w:r>
      <w:r>
        <w:rPr>
          <w:rFonts w:eastAsia="Batang" w:cstheme="minorHAnsi"/>
          <w:lang w:eastAsia="zh-CN"/>
        </w:rPr>
        <w:t>TD</w:t>
      </w:r>
      <w:r w:rsidR="0008721F">
        <w:rPr>
          <w:rFonts w:eastAsia="Batang" w:cstheme="minorHAnsi"/>
          <w:lang w:eastAsia="zh-CN"/>
        </w:rPr>
        <w:t>D</w:t>
      </w:r>
      <w:r>
        <w:rPr>
          <w:rFonts w:eastAsia="Batang" w:cstheme="minorHAnsi"/>
          <w:lang w:eastAsia="zh-CN"/>
        </w:rPr>
        <w:t xml:space="preserve"> UE, are shown in </w:t>
      </w:r>
      <w:r>
        <w:rPr>
          <w:rFonts w:eastAsia="Batang" w:cstheme="minorHAnsi"/>
          <w:lang w:eastAsia="zh-CN"/>
        </w:rPr>
        <w:fldChar w:fldCharType="begin"/>
      </w:r>
      <w:r>
        <w:rPr>
          <w:rFonts w:eastAsia="Batang" w:cstheme="minorHAnsi"/>
          <w:lang w:eastAsia="zh-CN"/>
        </w:rPr>
        <w:instrText xml:space="preserve"> REF _Ref100840597 \h </w:instrText>
      </w:r>
      <w:r>
        <w:rPr>
          <w:rFonts w:eastAsia="Batang" w:cstheme="minorHAnsi"/>
          <w:lang w:eastAsia="zh-CN"/>
        </w:rPr>
      </w:r>
      <w:r>
        <w:rPr>
          <w:rFonts w:eastAsia="Batang" w:cstheme="minorHAnsi"/>
          <w:lang w:eastAsia="zh-CN"/>
        </w:rPr>
        <w:fldChar w:fldCharType="separate"/>
      </w:r>
      <w:r w:rsidR="000079FC">
        <w:t xml:space="preserve">Figure </w:t>
      </w:r>
      <w:r w:rsidR="000079FC">
        <w:rPr>
          <w:noProof/>
        </w:rPr>
        <w:t>1</w:t>
      </w:r>
      <w:r>
        <w:rPr>
          <w:rFonts w:eastAsia="Batang" w:cstheme="minorHAnsi"/>
          <w:lang w:eastAsia="zh-CN"/>
        </w:rPr>
        <w:fldChar w:fldCharType="end"/>
      </w:r>
      <w:r>
        <w:rPr>
          <w:rFonts w:eastAsia="Batang" w:cstheme="minorHAnsi"/>
          <w:lang w:eastAsia="zh-CN"/>
        </w:rPr>
        <w:t>, i.e.:</w:t>
      </w:r>
    </w:p>
    <w:p w14:paraId="41FF2497" w14:textId="77777777" w:rsidR="008A22B1" w:rsidRDefault="008A22B1" w:rsidP="00134478">
      <w:pPr>
        <w:spacing w:after="0"/>
        <w:rPr>
          <w:rFonts w:eastAsia="Batang" w:cstheme="minorHAnsi"/>
          <w:lang w:eastAsia="zh-CN"/>
        </w:rPr>
      </w:pPr>
    </w:p>
    <w:p w14:paraId="7B9775A5" w14:textId="1F12FA63" w:rsidR="00134478" w:rsidRDefault="00134478" w:rsidP="00134478">
      <w:pPr>
        <w:pStyle w:val="ListParagraph"/>
        <w:numPr>
          <w:ilvl w:val="0"/>
          <w:numId w:val="37"/>
        </w:numPr>
        <w:spacing w:after="0"/>
        <w:rPr>
          <w:rFonts w:eastAsia="Batang" w:cstheme="minorHAnsi"/>
          <w:lang w:eastAsia="zh-CN"/>
        </w:rPr>
      </w:pPr>
      <w:r>
        <w:rPr>
          <w:rFonts w:eastAsia="Batang" w:cstheme="minorHAnsi"/>
          <w:lang w:eastAsia="zh-CN"/>
        </w:rPr>
        <w:lastRenderedPageBreak/>
        <w:t xml:space="preserve">Self CLI at the gNB, where the gNB DL transmission interferes with the gNB UL reception.  This CLI </w:t>
      </w:r>
      <w:r w:rsidR="002F6229">
        <w:rPr>
          <w:rFonts w:eastAsia="Batang" w:cstheme="minorHAnsi"/>
          <w:lang w:eastAsia="zh-CN"/>
        </w:rPr>
        <w:t xml:space="preserve">may </w:t>
      </w:r>
      <w:r>
        <w:rPr>
          <w:rFonts w:eastAsia="Batang" w:cstheme="minorHAnsi"/>
          <w:lang w:eastAsia="zh-CN"/>
        </w:rPr>
        <w:t>be over 100 dB and will require complex RF hardware to isolate the CLI and interference cancellation to make the UL reception viable.</w:t>
      </w:r>
    </w:p>
    <w:p w14:paraId="7C892363" w14:textId="742B9403" w:rsidR="00134478" w:rsidRPr="00C51167" w:rsidRDefault="00134478" w:rsidP="00134478">
      <w:pPr>
        <w:pStyle w:val="ListParagraph"/>
        <w:numPr>
          <w:ilvl w:val="0"/>
          <w:numId w:val="37"/>
        </w:numPr>
        <w:spacing w:after="0"/>
        <w:rPr>
          <w:rFonts w:eastAsia="Batang" w:cstheme="minorHAnsi"/>
          <w:lang w:eastAsia="zh-CN"/>
        </w:rPr>
      </w:pPr>
      <w:r>
        <w:rPr>
          <w:rFonts w:eastAsia="Batang" w:cstheme="minorHAnsi"/>
          <w:lang w:eastAsia="zh-CN"/>
        </w:rPr>
        <w:t xml:space="preserve">CLI between two UEs, where one UE, e.g. UE1 in </w:t>
      </w:r>
      <w:r>
        <w:rPr>
          <w:rFonts w:eastAsia="Batang" w:cstheme="minorHAnsi"/>
          <w:lang w:eastAsia="zh-CN"/>
        </w:rPr>
        <w:fldChar w:fldCharType="begin"/>
      </w:r>
      <w:r>
        <w:rPr>
          <w:rFonts w:eastAsia="Batang" w:cstheme="minorHAnsi"/>
          <w:lang w:eastAsia="zh-CN"/>
        </w:rPr>
        <w:instrText xml:space="preserve"> REF _Ref100840597 \h </w:instrText>
      </w:r>
      <w:r>
        <w:rPr>
          <w:rFonts w:eastAsia="Batang" w:cstheme="minorHAnsi"/>
          <w:lang w:eastAsia="zh-CN"/>
        </w:rPr>
      </w:r>
      <w:r>
        <w:rPr>
          <w:rFonts w:eastAsia="Batang" w:cstheme="minorHAnsi"/>
          <w:lang w:eastAsia="zh-CN"/>
        </w:rPr>
        <w:fldChar w:fldCharType="separate"/>
      </w:r>
      <w:r w:rsidR="000079FC">
        <w:t xml:space="preserve">Figure </w:t>
      </w:r>
      <w:r w:rsidR="000079FC">
        <w:rPr>
          <w:noProof/>
        </w:rPr>
        <w:t>1</w:t>
      </w:r>
      <w:r>
        <w:rPr>
          <w:rFonts w:eastAsia="Batang" w:cstheme="minorHAnsi"/>
          <w:lang w:eastAsia="zh-CN"/>
        </w:rPr>
        <w:fldChar w:fldCharType="end"/>
      </w:r>
      <w:r w:rsidR="008A22B1">
        <w:rPr>
          <w:rFonts w:eastAsia="Batang" w:cstheme="minorHAnsi"/>
          <w:lang w:eastAsia="zh-CN"/>
        </w:rPr>
        <w:t>,</w:t>
      </w:r>
      <w:r>
        <w:rPr>
          <w:rFonts w:eastAsia="Batang" w:cstheme="minorHAnsi"/>
          <w:lang w:eastAsia="zh-CN"/>
        </w:rPr>
        <w:t xml:space="preserve"> is transmitting in the UL whilst another UE, e.g., UE2, is receiving in the DL and here the UL transmission from UE1 causes CLI to the downlink reception of UE2.</w:t>
      </w:r>
    </w:p>
    <w:p w14:paraId="341F9543" w14:textId="77777777" w:rsidR="00134478" w:rsidRDefault="00134478" w:rsidP="00134478">
      <w:pPr>
        <w:spacing w:after="0"/>
        <w:rPr>
          <w:rFonts w:eastAsia="Batang" w:cstheme="minorHAnsi"/>
          <w:lang w:eastAsia="zh-CN"/>
        </w:rPr>
      </w:pPr>
    </w:p>
    <w:p w14:paraId="3AADEE67" w14:textId="77777777" w:rsidR="00134478" w:rsidRDefault="00134478" w:rsidP="00134478">
      <w:pPr>
        <w:spacing w:after="0"/>
        <w:rPr>
          <w:rFonts w:eastAsia="Batang" w:cstheme="minorHAnsi"/>
          <w:lang w:eastAsia="zh-CN"/>
        </w:rPr>
      </w:pPr>
    </w:p>
    <w:p w14:paraId="3D9FAEB3" w14:textId="77777777" w:rsidR="00134478" w:rsidRDefault="00134478" w:rsidP="00134478">
      <w:pPr>
        <w:keepNext/>
        <w:spacing w:after="0"/>
        <w:jc w:val="center"/>
      </w:pPr>
      <w:r>
        <w:rPr>
          <w:rFonts w:eastAsia="Batang" w:cstheme="minorHAnsi"/>
          <w:noProof/>
          <w:lang w:eastAsia="zh-CN"/>
        </w:rPr>
        <w:drawing>
          <wp:inline distT="0" distB="0" distL="0" distR="0" wp14:anchorId="7F4E1444" wp14:editId="716C6EAF">
            <wp:extent cx="3169920" cy="1554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9920" cy="1554480"/>
                    </a:xfrm>
                    <a:prstGeom prst="rect">
                      <a:avLst/>
                    </a:prstGeom>
                    <a:noFill/>
                  </pic:spPr>
                </pic:pic>
              </a:graphicData>
            </a:graphic>
          </wp:inline>
        </w:drawing>
      </w:r>
    </w:p>
    <w:p w14:paraId="31FDD53B" w14:textId="73663239" w:rsidR="00134478" w:rsidRDefault="00134478" w:rsidP="00134478">
      <w:pPr>
        <w:pStyle w:val="Caption"/>
        <w:jc w:val="center"/>
        <w:rPr>
          <w:rFonts w:eastAsia="Batang" w:cstheme="minorHAnsi"/>
          <w:lang w:eastAsia="zh-CN"/>
        </w:rPr>
      </w:pPr>
      <w:bookmarkStart w:id="2" w:name="_Ref100840597"/>
      <w:r>
        <w:t xml:space="preserve">Figure </w:t>
      </w:r>
      <w:fldSimple w:instr=" SEQ Figure \* ARABIC ">
        <w:r w:rsidR="00F47E08">
          <w:rPr>
            <w:noProof/>
          </w:rPr>
          <w:t>1</w:t>
        </w:r>
      </w:fldSimple>
      <w:bookmarkEnd w:id="2"/>
      <w:r>
        <w:t>: Intra-cell CLI</w:t>
      </w:r>
    </w:p>
    <w:p w14:paraId="3A3C4B14" w14:textId="77777777" w:rsidR="00134478" w:rsidRDefault="00134478" w:rsidP="00134478">
      <w:pPr>
        <w:spacing w:after="0"/>
        <w:rPr>
          <w:lang w:val="en-US"/>
        </w:rPr>
      </w:pPr>
    </w:p>
    <w:p w14:paraId="3619151C" w14:textId="77777777" w:rsidR="00134478" w:rsidRDefault="00134478" w:rsidP="00134478">
      <w:pPr>
        <w:spacing w:after="0"/>
        <w:rPr>
          <w:lang w:val="en-US"/>
        </w:rPr>
      </w:pPr>
    </w:p>
    <w:p w14:paraId="7B4B9AA6" w14:textId="77777777" w:rsidR="00134478" w:rsidRDefault="00134478" w:rsidP="00134478">
      <w:pPr>
        <w:pStyle w:val="Heading2"/>
        <w:numPr>
          <w:ilvl w:val="1"/>
          <w:numId w:val="5"/>
        </w:numPr>
        <w:rPr>
          <w:lang w:eastAsia="zh-CN"/>
        </w:rPr>
      </w:pPr>
      <w:r>
        <w:rPr>
          <w:lang w:eastAsia="zh-CN"/>
        </w:rPr>
        <w:t>Non-overlapping Subbands</w:t>
      </w:r>
    </w:p>
    <w:p w14:paraId="1E78DD73" w14:textId="63ADCE33" w:rsidR="00134478" w:rsidRDefault="00134478" w:rsidP="00134478">
      <w:pPr>
        <w:spacing w:after="0"/>
        <w:rPr>
          <w:rFonts w:eastAsia="Batang" w:cstheme="minorHAnsi"/>
          <w:lang w:eastAsia="zh-CN"/>
        </w:rPr>
      </w:pPr>
      <w:r>
        <w:rPr>
          <w:rFonts w:eastAsia="Batang" w:cstheme="minorHAnsi"/>
          <w:lang w:eastAsia="zh-CN"/>
        </w:rPr>
        <w:t xml:space="preserve">One way to reduce intra-cell CLI is to separate the DL and UL transmissions into different non-overlapping frequency subbands.  An example is shown in </w:t>
      </w:r>
      <w:r>
        <w:rPr>
          <w:rFonts w:eastAsia="Batang" w:cstheme="minorHAnsi"/>
          <w:lang w:eastAsia="zh-CN"/>
        </w:rPr>
        <w:fldChar w:fldCharType="begin"/>
      </w:r>
      <w:r>
        <w:rPr>
          <w:rFonts w:eastAsia="Batang" w:cstheme="minorHAnsi"/>
          <w:lang w:eastAsia="zh-CN"/>
        </w:rPr>
        <w:instrText xml:space="preserve"> REF _Ref100845454 \h </w:instrText>
      </w:r>
      <w:r>
        <w:rPr>
          <w:rFonts w:eastAsia="Batang" w:cstheme="minorHAnsi"/>
          <w:lang w:eastAsia="zh-CN"/>
        </w:rPr>
      </w:r>
      <w:r>
        <w:rPr>
          <w:rFonts w:eastAsia="Batang" w:cstheme="minorHAnsi"/>
          <w:lang w:eastAsia="zh-CN"/>
        </w:rPr>
        <w:fldChar w:fldCharType="separate"/>
      </w:r>
      <w:r w:rsidR="000079FC">
        <w:t xml:space="preserve">Figure </w:t>
      </w:r>
      <w:r w:rsidR="000079FC">
        <w:rPr>
          <w:noProof/>
        </w:rPr>
        <w:t>2</w:t>
      </w:r>
      <w:r>
        <w:rPr>
          <w:rFonts w:eastAsia="Batang" w:cstheme="minorHAnsi"/>
          <w:lang w:eastAsia="zh-CN"/>
        </w:rPr>
        <w:fldChar w:fldCharType="end"/>
      </w:r>
      <w:r>
        <w:rPr>
          <w:rFonts w:eastAsia="Batang" w:cstheme="minorHAnsi"/>
          <w:lang w:eastAsia="zh-CN"/>
        </w:rPr>
        <w:t>, where the system bandwidth is divided into non-overlapping subbands.  In this example, it is divided into 4 subbands, Subband#1, Subband#2, Subband#3 and Subband#4, where Subband#1 and Subband#3 are used for DL whilst Subband#2 and Subband#4 are used for UL.</w:t>
      </w:r>
    </w:p>
    <w:p w14:paraId="1DD44418" w14:textId="77777777" w:rsidR="00134478" w:rsidRDefault="00134478" w:rsidP="00134478">
      <w:pPr>
        <w:spacing w:after="0"/>
        <w:rPr>
          <w:rFonts w:eastAsia="Batang" w:cstheme="minorHAnsi"/>
          <w:lang w:eastAsia="zh-CN"/>
        </w:rPr>
      </w:pPr>
    </w:p>
    <w:p w14:paraId="734512D9" w14:textId="77777777" w:rsidR="00134478" w:rsidRDefault="00134478" w:rsidP="00134478">
      <w:pPr>
        <w:keepNext/>
        <w:spacing w:after="0"/>
        <w:jc w:val="center"/>
      </w:pPr>
      <w:r>
        <w:rPr>
          <w:noProof/>
        </w:rPr>
        <w:drawing>
          <wp:inline distT="0" distB="0" distL="0" distR="0" wp14:anchorId="67DF24AF" wp14:editId="768F4A2D">
            <wp:extent cx="2524125" cy="2219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4125" cy="2219325"/>
                    </a:xfrm>
                    <a:prstGeom prst="rect">
                      <a:avLst/>
                    </a:prstGeom>
                    <a:noFill/>
                  </pic:spPr>
                </pic:pic>
              </a:graphicData>
            </a:graphic>
          </wp:inline>
        </w:drawing>
      </w:r>
    </w:p>
    <w:p w14:paraId="3BF10FA2" w14:textId="0E0AA5C9" w:rsidR="00134478" w:rsidRDefault="00134478" w:rsidP="00134478">
      <w:pPr>
        <w:pStyle w:val="Caption"/>
        <w:jc w:val="center"/>
        <w:rPr>
          <w:lang w:val="en-US"/>
        </w:rPr>
      </w:pPr>
      <w:bookmarkStart w:id="3" w:name="_Ref100845454"/>
      <w:r>
        <w:t xml:space="preserve">Figure </w:t>
      </w:r>
      <w:fldSimple w:instr=" SEQ Figure \* ARABIC ">
        <w:r w:rsidR="00F47E08">
          <w:rPr>
            <w:noProof/>
          </w:rPr>
          <w:t>2</w:t>
        </w:r>
      </w:fldSimple>
      <w:bookmarkEnd w:id="3"/>
      <w:r>
        <w:t>: Non-overlapping subbands</w:t>
      </w:r>
    </w:p>
    <w:p w14:paraId="29F19CFC" w14:textId="77777777" w:rsidR="00134478" w:rsidRDefault="00134478" w:rsidP="00134478">
      <w:pPr>
        <w:spacing w:after="0"/>
        <w:rPr>
          <w:lang w:val="en-US"/>
        </w:rPr>
      </w:pPr>
    </w:p>
    <w:p w14:paraId="35202EF0" w14:textId="7C6507C2" w:rsidR="00134478" w:rsidRDefault="00134478" w:rsidP="00134478">
      <w:pPr>
        <w:spacing w:after="0"/>
        <w:rPr>
          <w:lang w:val="en-US"/>
        </w:rPr>
      </w:pPr>
      <w:r>
        <w:rPr>
          <w:lang w:val="en-US"/>
        </w:rPr>
        <w:t xml:space="preserve">The RBs in the centre of a subband would suffer less CLI compared with the RBs at the edge of a subband that is adjacent to another subband.  Hence, to further reduce CLI between adjacent subbands, </w:t>
      </w:r>
      <w:r w:rsidR="00462974">
        <w:rPr>
          <w:lang w:val="en-US"/>
        </w:rPr>
        <w:t xml:space="preserve">a </w:t>
      </w:r>
      <w:r>
        <w:rPr>
          <w:lang w:val="en-US"/>
        </w:rPr>
        <w:t>guard subband can be introduce</w:t>
      </w:r>
      <w:r w:rsidR="008549DB">
        <w:rPr>
          <w:lang w:val="en-US"/>
        </w:rPr>
        <w:t>d</w:t>
      </w:r>
      <w:r>
        <w:rPr>
          <w:lang w:val="en-US"/>
        </w:rPr>
        <w:t xml:space="preserve"> between two subbands, as shown in </w:t>
      </w:r>
      <w:r>
        <w:rPr>
          <w:lang w:val="en-US"/>
        </w:rPr>
        <w:fldChar w:fldCharType="begin"/>
      </w:r>
      <w:r>
        <w:rPr>
          <w:lang w:val="en-US"/>
        </w:rPr>
        <w:instrText xml:space="preserve"> REF _Ref100845454 \h </w:instrText>
      </w:r>
      <w:r>
        <w:rPr>
          <w:lang w:val="en-US"/>
        </w:rPr>
      </w:r>
      <w:r>
        <w:rPr>
          <w:lang w:val="en-US"/>
        </w:rPr>
        <w:fldChar w:fldCharType="separate"/>
      </w:r>
      <w:r w:rsidR="000079FC">
        <w:t xml:space="preserve">Figure </w:t>
      </w:r>
      <w:r w:rsidR="000079FC">
        <w:rPr>
          <w:noProof/>
        </w:rPr>
        <w:t>2</w:t>
      </w:r>
      <w:r>
        <w:rPr>
          <w:lang w:val="en-US"/>
        </w:rPr>
        <w:fldChar w:fldCharType="end"/>
      </w:r>
      <w:r w:rsidR="004163A8">
        <w:rPr>
          <w:lang w:val="en-US"/>
        </w:rPr>
        <w:t xml:space="preserve"> above</w:t>
      </w:r>
      <w:r>
        <w:rPr>
          <w:lang w:val="en-US"/>
        </w:rPr>
        <w:t xml:space="preserve">, where the guard subbands are in grey.  Using subbands with guard subbands between two subbands is an effective way to reduce intra-cell CLI </w:t>
      </w:r>
      <w:r w:rsidR="00A56988">
        <w:rPr>
          <w:lang w:val="en-US"/>
        </w:rPr>
        <w:t>at the cost of reduced frequency resource for DL/UL transmissions.</w:t>
      </w:r>
    </w:p>
    <w:p w14:paraId="2EB57A4A" w14:textId="77777777" w:rsidR="00134478" w:rsidRDefault="00134478" w:rsidP="00134478">
      <w:pPr>
        <w:spacing w:after="0"/>
        <w:rPr>
          <w:lang w:val="en-US"/>
        </w:rPr>
      </w:pPr>
    </w:p>
    <w:p w14:paraId="03213F34" w14:textId="4AE795D0" w:rsidR="00134478" w:rsidRPr="00520454" w:rsidRDefault="00134478" w:rsidP="00134478">
      <w:pPr>
        <w:spacing w:after="0"/>
        <w:rPr>
          <w:b/>
          <w:bCs/>
          <w:lang w:val="en-US"/>
        </w:rPr>
      </w:pPr>
      <w:r w:rsidRPr="00520454">
        <w:rPr>
          <w:b/>
          <w:bCs/>
          <w:lang w:val="en-US"/>
        </w:rPr>
        <w:t xml:space="preserve">Proposal 1: In </w:t>
      </w:r>
      <w:r w:rsidR="0008721F">
        <w:rPr>
          <w:b/>
          <w:bCs/>
          <w:lang w:val="en-US"/>
        </w:rPr>
        <w:t>FD-TDD</w:t>
      </w:r>
      <w:r w:rsidRPr="00520454">
        <w:rPr>
          <w:b/>
          <w:bCs/>
          <w:lang w:val="en-US"/>
        </w:rPr>
        <w:t xml:space="preserve"> operation, the DL and UL transmissions are performed in separate non-overlapping frequency subbands with a guard subband between two adjacent subbands.</w:t>
      </w:r>
    </w:p>
    <w:p w14:paraId="4BD3F9B7" w14:textId="60D38F29" w:rsidR="00A732D6" w:rsidRDefault="00A732D6" w:rsidP="00A06D0D">
      <w:pPr>
        <w:spacing w:after="0"/>
        <w:rPr>
          <w:lang w:val="en-US"/>
        </w:rPr>
      </w:pPr>
    </w:p>
    <w:p w14:paraId="52F009B7" w14:textId="77777777" w:rsidR="00134478" w:rsidRDefault="00134478" w:rsidP="00134478">
      <w:pPr>
        <w:spacing w:after="0"/>
        <w:rPr>
          <w:lang w:val="en-US"/>
        </w:rPr>
      </w:pPr>
    </w:p>
    <w:p w14:paraId="7DD62A7E" w14:textId="437C437A" w:rsidR="00134478" w:rsidRDefault="00134478" w:rsidP="00134478">
      <w:pPr>
        <w:pStyle w:val="Heading2"/>
        <w:numPr>
          <w:ilvl w:val="1"/>
          <w:numId w:val="5"/>
        </w:numPr>
        <w:rPr>
          <w:lang w:eastAsia="zh-CN"/>
        </w:rPr>
      </w:pPr>
      <w:r>
        <w:rPr>
          <w:lang w:eastAsia="zh-CN"/>
        </w:rPr>
        <w:lastRenderedPageBreak/>
        <w:t>Adjacent Channel Interference</w:t>
      </w:r>
    </w:p>
    <w:p w14:paraId="68A4DC57" w14:textId="316B1B9D" w:rsidR="00A06D0D" w:rsidRDefault="003A5089" w:rsidP="00A06D0D">
      <w:pPr>
        <w:spacing w:after="0"/>
        <w:rPr>
          <w:lang w:val="en-US"/>
        </w:rPr>
      </w:pPr>
      <w:r>
        <w:rPr>
          <w:lang w:val="en-US"/>
        </w:rPr>
        <w:t xml:space="preserve">Since the transmit and receive filters are not perfect and suffer from Adjacent Channel Leakage and Adjacent Channel Selection, </w:t>
      </w:r>
      <w:r w:rsidR="00752C05">
        <w:rPr>
          <w:lang w:val="en-US"/>
        </w:rPr>
        <w:t xml:space="preserve">an UL transmission in a subband </w:t>
      </w:r>
      <w:r w:rsidR="00C7635C">
        <w:rPr>
          <w:lang w:val="en-US"/>
        </w:rPr>
        <w:t>can</w:t>
      </w:r>
      <w:r w:rsidR="00752C05">
        <w:rPr>
          <w:lang w:val="en-US"/>
        </w:rPr>
        <w:t xml:space="preserve"> cause Adjacent Channel Interference </w:t>
      </w:r>
      <w:r w:rsidR="003F7E74">
        <w:rPr>
          <w:lang w:val="en-US"/>
        </w:rPr>
        <w:t xml:space="preserve">(ACI) </w:t>
      </w:r>
      <w:r w:rsidR="00752C05">
        <w:rPr>
          <w:lang w:val="en-US"/>
        </w:rPr>
        <w:t>into a</w:t>
      </w:r>
      <w:r w:rsidR="00F505A9">
        <w:rPr>
          <w:lang w:val="en-US"/>
        </w:rPr>
        <w:t xml:space="preserve"> UE receiving in a</w:t>
      </w:r>
      <w:r w:rsidR="00752C05">
        <w:rPr>
          <w:lang w:val="en-US"/>
        </w:rPr>
        <w:t xml:space="preserve">n adjacent DL subband. </w:t>
      </w:r>
      <w:r w:rsidR="003F7E74">
        <w:rPr>
          <w:lang w:val="en-US"/>
        </w:rPr>
        <w:t xml:space="preserve">That is, </w:t>
      </w:r>
      <w:r w:rsidR="00C7635C">
        <w:rPr>
          <w:lang w:val="en-US"/>
        </w:rPr>
        <w:t xml:space="preserve">in a non-overlapping subband FD-TDD operation, </w:t>
      </w:r>
      <w:r w:rsidR="003F7E74">
        <w:rPr>
          <w:lang w:val="en-US"/>
        </w:rPr>
        <w:t>ACI is the main cause of intra-cell CLI.</w:t>
      </w:r>
    </w:p>
    <w:p w14:paraId="684D9ED7" w14:textId="04D38B21" w:rsidR="003F7E74" w:rsidRDefault="003F7E74" w:rsidP="00A06D0D">
      <w:pPr>
        <w:spacing w:after="0"/>
        <w:rPr>
          <w:lang w:val="en-US"/>
        </w:rPr>
      </w:pPr>
    </w:p>
    <w:p w14:paraId="428D2F7B" w14:textId="600C51D4" w:rsidR="003F7E74" w:rsidRPr="00255B00" w:rsidRDefault="003F7E74" w:rsidP="00A06D0D">
      <w:pPr>
        <w:spacing w:after="0"/>
        <w:rPr>
          <w:b/>
          <w:bCs/>
          <w:lang w:val="en-US"/>
        </w:rPr>
      </w:pPr>
      <w:r w:rsidRPr="00255B00">
        <w:rPr>
          <w:b/>
          <w:bCs/>
          <w:lang w:val="en-US"/>
        </w:rPr>
        <w:t>Observation 1: Adjacent Channel Interference (ACI) is the main cause of intra-cell Cross Link Interference in FD-TDD using non-overlapping subbands.</w:t>
      </w:r>
    </w:p>
    <w:p w14:paraId="53AC20C2" w14:textId="0D719E27" w:rsidR="00255B00" w:rsidRDefault="00255B00" w:rsidP="00A06D0D">
      <w:pPr>
        <w:spacing w:after="0"/>
        <w:rPr>
          <w:lang w:val="en-US"/>
        </w:rPr>
      </w:pPr>
    </w:p>
    <w:p w14:paraId="5ACCF251" w14:textId="0378F774" w:rsidR="00255B00" w:rsidRDefault="00255B00" w:rsidP="00A06D0D">
      <w:pPr>
        <w:spacing w:after="0"/>
        <w:rPr>
          <w:lang w:val="en-US"/>
        </w:rPr>
      </w:pPr>
    </w:p>
    <w:p w14:paraId="52B9D171" w14:textId="4384EDB9" w:rsidR="00255B00" w:rsidRDefault="0085079B" w:rsidP="00A06D0D">
      <w:pPr>
        <w:spacing w:after="0"/>
        <w:rPr>
          <w:lang w:val="en-US"/>
        </w:rPr>
      </w:pPr>
      <w:r>
        <w:rPr>
          <w:lang w:val="en-US"/>
        </w:rPr>
        <w:t>In HD-TDD operation with dynamic/flexible TDD, SRS-RSRP and CLI-RSSI</w:t>
      </w:r>
      <w:r w:rsidR="00BC28E5">
        <w:rPr>
          <w:lang w:val="en-US"/>
        </w:rPr>
        <w:t xml:space="preserve"> measurements were </w:t>
      </w:r>
      <w:r w:rsidR="00775043">
        <w:rPr>
          <w:lang w:val="en-US"/>
        </w:rPr>
        <w:t xml:space="preserve">introduced </w:t>
      </w:r>
      <w:r w:rsidR="00BC28E5">
        <w:rPr>
          <w:lang w:val="en-US"/>
        </w:rPr>
        <w:t>to manage inter-cell CLI</w:t>
      </w:r>
      <w:r w:rsidR="00501BCF">
        <w:rPr>
          <w:lang w:val="en-US"/>
        </w:rPr>
        <w:t xml:space="preserve">.  The SRS-RSRP and CLI-RSSI are performed over the entire BWP, which reflects the operations of HD-TDD </w:t>
      </w:r>
      <w:r w:rsidR="00775043">
        <w:rPr>
          <w:lang w:val="en-US"/>
        </w:rPr>
        <w:t xml:space="preserve">since </w:t>
      </w:r>
      <w:r w:rsidR="00501BCF">
        <w:rPr>
          <w:lang w:val="en-US"/>
        </w:rPr>
        <w:t xml:space="preserve">the entire bandwidth </w:t>
      </w:r>
      <w:r w:rsidR="00775043">
        <w:rPr>
          <w:lang w:val="en-US"/>
        </w:rPr>
        <w:t xml:space="preserve">is used for </w:t>
      </w:r>
      <w:r w:rsidR="00501BCF">
        <w:rPr>
          <w:lang w:val="en-US"/>
        </w:rPr>
        <w:t>either UL or DL only.</w:t>
      </w:r>
      <w:r w:rsidR="00775043">
        <w:rPr>
          <w:lang w:val="en-US"/>
        </w:rPr>
        <w:t xml:space="preserve">  However, for subband based FD-TDD, ACI is the main cause of CLI</w:t>
      </w:r>
      <w:r w:rsidR="0008324D">
        <w:rPr>
          <w:lang w:val="en-US"/>
        </w:rPr>
        <w:t xml:space="preserve"> and to help the gNB scheduler in managing ACI, new measurements are required.  A measurement that measures ACI within a </w:t>
      </w:r>
      <w:r w:rsidR="00094A8E">
        <w:rPr>
          <w:lang w:val="en-US"/>
        </w:rPr>
        <w:t xml:space="preserve">DL </w:t>
      </w:r>
      <w:r w:rsidR="0008324D">
        <w:rPr>
          <w:lang w:val="en-US"/>
        </w:rPr>
        <w:t xml:space="preserve">subband, whilst UEs in </w:t>
      </w:r>
      <w:r w:rsidR="00E47352">
        <w:rPr>
          <w:lang w:val="en-US"/>
        </w:rPr>
        <w:t xml:space="preserve">an </w:t>
      </w:r>
      <w:r w:rsidR="0008324D">
        <w:rPr>
          <w:lang w:val="en-US"/>
        </w:rPr>
        <w:t xml:space="preserve">UL subband are </w:t>
      </w:r>
      <w:r w:rsidR="00E47352">
        <w:rPr>
          <w:lang w:val="en-US"/>
        </w:rPr>
        <w:t xml:space="preserve">transmitting </w:t>
      </w:r>
      <w:r w:rsidR="0008324D">
        <w:rPr>
          <w:lang w:val="en-US"/>
        </w:rPr>
        <w:t>SRS would prov</w:t>
      </w:r>
      <w:r w:rsidR="00094A8E">
        <w:rPr>
          <w:lang w:val="en-US"/>
        </w:rPr>
        <w:t xml:space="preserve">ide the gNB </w:t>
      </w:r>
      <w:r w:rsidR="00F505A9">
        <w:rPr>
          <w:lang w:val="en-US"/>
        </w:rPr>
        <w:t xml:space="preserve">with information </w:t>
      </w:r>
      <w:r w:rsidR="00094A8E">
        <w:rPr>
          <w:lang w:val="en-US"/>
        </w:rPr>
        <w:t xml:space="preserve">of the impact of </w:t>
      </w:r>
      <w:r w:rsidR="00F505A9">
        <w:rPr>
          <w:lang w:val="en-US"/>
        </w:rPr>
        <w:t xml:space="preserve">intra-cell </w:t>
      </w:r>
      <w:r w:rsidR="00094A8E">
        <w:rPr>
          <w:lang w:val="en-US"/>
        </w:rPr>
        <w:t xml:space="preserve">CLI caused by ACI.  To further help the gNB decide on the frequency resources, e.g. RBs, in the DL subband that can be scheduled under ACI, the said measurement can be divided into blocks, i.e. ACI blocks, and the UE measures the SRS interference in each ACI block.  An example is </w:t>
      </w:r>
      <w:r w:rsidR="006B3682">
        <w:rPr>
          <w:lang w:val="en-US"/>
        </w:rPr>
        <w:t xml:space="preserve">shown in </w:t>
      </w:r>
      <w:r w:rsidR="006B3682">
        <w:rPr>
          <w:lang w:val="en-US"/>
        </w:rPr>
        <w:fldChar w:fldCharType="begin"/>
      </w:r>
      <w:r w:rsidR="006B3682">
        <w:rPr>
          <w:lang w:val="en-US"/>
        </w:rPr>
        <w:instrText xml:space="preserve"> REF _Ref101448565 \h </w:instrText>
      </w:r>
      <w:r w:rsidR="006B3682">
        <w:rPr>
          <w:lang w:val="en-US"/>
        </w:rPr>
      </w:r>
      <w:r w:rsidR="006B3682">
        <w:rPr>
          <w:lang w:val="en-US"/>
        </w:rPr>
        <w:fldChar w:fldCharType="separate"/>
      </w:r>
      <w:r w:rsidR="006B3682">
        <w:t xml:space="preserve">Figure </w:t>
      </w:r>
      <w:r w:rsidR="006B3682">
        <w:rPr>
          <w:noProof/>
        </w:rPr>
        <w:t>3</w:t>
      </w:r>
      <w:r w:rsidR="006B3682">
        <w:rPr>
          <w:lang w:val="en-US"/>
        </w:rPr>
        <w:fldChar w:fldCharType="end"/>
      </w:r>
      <w:r w:rsidR="006B3682">
        <w:rPr>
          <w:lang w:val="en-US"/>
        </w:rPr>
        <w:t xml:space="preserve">, </w:t>
      </w:r>
      <w:r w:rsidR="00252DA1">
        <w:rPr>
          <w:lang w:val="en-US"/>
        </w:rPr>
        <w:t xml:space="preserve">where the TDD bandwidth </w:t>
      </w:r>
      <w:r w:rsidR="00252DA1" w:rsidRPr="00252DA1">
        <w:rPr>
          <w:i/>
          <w:iCs/>
          <w:lang w:val="en-US"/>
        </w:rPr>
        <w:t>f</w:t>
      </w:r>
      <w:r w:rsidR="00252DA1" w:rsidRPr="00252DA1">
        <w:rPr>
          <w:vertAlign w:val="subscript"/>
          <w:lang w:val="en-US"/>
        </w:rPr>
        <w:t>0</w:t>
      </w:r>
      <w:r w:rsidR="00252DA1">
        <w:rPr>
          <w:lang w:val="en-US"/>
        </w:rPr>
        <w:t xml:space="preserve"> – </w:t>
      </w:r>
      <w:r w:rsidR="00252DA1" w:rsidRPr="00252DA1">
        <w:rPr>
          <w:i/>
          <w:iCs/>
          <w:lang w:val="en-US"/>
        </w:rPr>
        <w:t>f</w:t>
      </w:r>
      <w:r w:rsidR="00252DA1" w:rsidRPr="00252DA1">
        <w:rPr>
          <w:vertAlign w:val="subscript"/>
          <w:lang w:val="en-US"/>
        </w:rPr>
        <w:t>6</w:t>
      </w:r>
      <w:r w:rsidR="00252DA1">
        <w:rPr>
          <w:lang w:val="en-US"/>
        </w:rPr>
        <w:t xml:space="preserve">, is divided into UL subband </w:t>
      </w:r>
      <w:r w:rsidR="00252DA1" w:rsidRPr="00252DA1">
        <w:rPr>
          <w:i/>
          <w:iCs/>
          <w:lang w:val="en-US"/>
        </w:rPr>
        <w:t>f</w:t>
      </w:r>
      <w:r w:rsidR="00252DA1" w:rsidRPr="00252DA1">
        <w:rPr>
          <w:vertAlign w:val="subscript"/>
          <w:lang w:val="en-US"/>
        </w:rPr>
        <w:t>0</w:t>
      </w:r>
      <w:r w:rsidR="00252DA1">
        <w:rPr>
          <w:lang w:val="en-US"/>
        </w:rPr>
        <w:t xml:space="preserve"> – </w:t>
      </w:r>
      <w:r w:rsidR="00252DA1" w:rsidRPr="00252DA1">
        <w:rPr>
          <w:i/>
          <w:iCs/>
          <w:lang w:val="en-US"/>
        </w:rPr>
        <w:t>f</w:t>
      </w:r>
      <w:r w:rsidR="00252DA1">
        <w:rPr>
          <w:vertAlign w:val="subscript"/>
          <w:lang w:val="en-US"/>
        </w:rPr>
        <w:t>1</w:t>
      </w:r>
      <w:r w:rsidR="00252DA1">
        <w:rPr>
          <w:lang w:val="en-US"/>
        </w:rPr>
        <w:t xml:space="preserve">, DL subband </w:t>
      </w:r>
      <w:r w:rsidR="00252DA1" w:rsidRPr="00252DA1">
        <w:rPr>
          <w:i/>
          <w:iCs/>
          <w:lang w:val="en-US"/>
        </w:rPr>
        <w:t>f</w:t>
      </w:r>
      <w:r w:rsidR="00252DA1">
        <w:rPr>
          <w:vertAlign w:val="subscript"/>
          <w:lang w:val="en-US"/>
        </w:rPr>
        <w:t>2</w:t>
      </w:r>
      <w:r w:rsidR="00252DA1">
        <w:rPr>
          <w:lang w:val="en-US"/>
        </w:rPr>
        <w:t xml:space="preserve"> – </w:t>
      </w:r>
      <w:r w:rsidR="00252DA1" w:rsidRPr="00252DA1">
        <w:rPr>
          <w:i/>
          <w:iCs/>
          <w:lang w:val="en-US"/>
        </w:rPr>
        <w:t>f</w:t>
      </w:r>
      <w:r w:rsidR="00252DA1" w:rsidRPr="00252DA1">
        <w:rPr>
          <w:vertAlign w:val="subscript"/>
          <w:lang w:val="en-US"/>
        </w:rPr>
        <w:t>6</w:t>
      </w:r>
      <w:r w:rsidR="00252DA1">
        <w:rPr>
          <w:lang w:val="en-US"/>
        </w:rPr>
        <w:t xml:space="preserve">, and guard subband </w:t>
      </w:r>
      <w:r w:rsidR="00252DA1" w:rsidRPr="00252DA1">
        <w:rPr>
          <w:i/>
          <w:iCs/>
          <w:lang w:val="en-US"/>
        </w:rPr>
        <w:t>f</w:t>
      </w:r>
      <w:r w:rsidR="00252DA1">
        <w:rPr>
          <w:vertAlign w:val="subscript"/>
          <w:lang w:val="en-US"/>
        </w:rPr>
        <w:t>1</w:t>
      </w:r>
      <w:r w:rsidR="00252DA1">
        <w:rPr>
          <w:lang w:val="en-US"/>
        </w:rPr>
        <w:t xml:space="preserve"> – </w:t>
      </w:r>
      <w:r w:rsidR="00252DA1" w:rsidRPr="00252DA1">
        <w:rPr>
          <w:i/>
          <w:iCs/>
          <w:lang w:val="en-US"/>
        </w:rPr>
        <w:t>f</w:t>
      </w:r>
      <w:r w:rsidR="00252DA1">
        <w:rPr>
          <w:vertAlign w:val="subscript"/>
          <w:lang w:val="en-US"/>
        </w:rPr>
        <w:t>2</w:t>
      </w:r>
      <w:r w:rsidR="00252DA1">
        <w:rPr>
          <w:lang w:val="en-US"/>
        </w:rPr>
        <w:t>, between the UL &amp; DL subbands.</w:t>
      </w:r>
      <w:r w:rsidR="00411BEB">
        <w:rPr>
          <w:lang w:val="en-US"/>
        </w:rPr>
        <w:t xml:space="preserve">  The gNB instructs a UE, e.g. UE1, to transmit SRS in the UL subband whilst another UE, e.g. UE2, performs ACI blocks measurements in the DL subband.  In this example, the DL subband is divided into 4 ACI blocks {ACI#1, ACI#2, ACI#3, ACI#4} and the UE reports the SRS interference, in the form of SNR of the detected SRS </w:t>
      </w:r>
      <w:r w:rsidR="00B33AEB">
        <w:rPr>
          <w:lang w:val="en-US"/>
        </w:rPr>
        <w:t xml:space="preserve">(or INR where the interference is from the SRS) </w:t>
      </w:r>
      <w:r w:rsidR="00411BEB">
        <w:rPr>
          <w:lang w:val="en-US"/>
        </w:rPr>
        <w:t xml:space="preserve">for each ACI block to the gNB.  </w:t>
      </w:r>
      <w:r w:rsidR="005634C8">
        <w:rPr>
          <w:lang w:val="en-US"/>
        </w:rPr>
        <w:t>Using the ACI block measurements, t</w:t>
      </w:r>
      <w:r w:rsidR="00411BEB">
        <w:rPr>
          <w:lang w:val="en-US"/>
        </w:rPr>
        <w:t xml:space="preserve">he </w:t>
      </w:r>
      <w:r w:rsidR="00EA5274">
        <w:rPr>
          <w:lang w:val="en-US"/>
        </w:rPr>
        <w:t xml:space="preserve">gNB can then determine whether to schedule UE2 close to the DL subband edge, i.e., </w:t>
      </w:r>
      <w:r w:rsidR="00EA5274" w:rsidRPr="00EA5274">
        <w:rPr>
          <w:i/>
          <w:iCs/>
          <w:lang w:val="en-US"/>
        </w:rPr>
        <w:t>f</w:t>
      </w:r>
      <w:r w:rsidR="00EA5274" w:rsidRPr="00EA5274">
        <w:rPr>
          <w:vertAlign w:val="subscript"/>
          <w:lang w:val="en-US"/>
        </w:rPr>
        <w:t>2</w:t>
      </w:r>
      <w:r w:rsidR="00EA5274">
        <w:rPr>
          <w:lang w:val="en-US"/>
        </w:rPr>
        <w:t xml:space="preserve"> – </w:t>
      </w:r>
      <w:r w:rsidR="00EA5274" w:rsidRPr="00EA5274">
        <w:rPr>
          <w:i/>
          <w:iCs/>
          <w:lang w:val="en-US"/>
        </w:rPr>
        <w:t>f</w:t>
      </w:r>
      <w:r w:rsidR="00EA5274" w:rsidRPr="00EA5274">
        <w:rPr>
          <w:vertAlign w:val="subscript"/>
          <w:lang w:val="en-US"/>
        </w:rPr>
        <w:t>3</w:t>
      </w:r>
      <w:r w:rsidR="00EA5274">
        <w:rPr>
          <w:lang w:val="en-US"/>
        </w:rPr>
        <w:t xml:space="preserve">, </w:t>
      </w:r>
      <w:r w:rsidR="005634C8">
        <w:rPr>
          <w:lang w:val="en-US"/>
        </w:rPr>
        <w:t xml:space="preserve">or determine a suitable MCS for a PDSCH occupying </w:t>
      </w:r>
      <w:r w:rsidR="005634C8" w:rsidRPr="005634C8">
        <w:rPr>
          <w:i/>
          <w:iCs/>
          <w:lang w:val="en-US"/>
        </w:rPr>
        <w:t>f</w:t>
      </w:r>
      <w:r w:rsidR="005634C8" w:rsidRPr="005634C8">
        <w:rPr>
          <w:vertAlign w:val="subscript"/>
          <w:lang w:val="en-US"/>
        </w:rPr>
        <w:t>2</w:t>
      </w:r>
      <w:r w:rsidR="005634C8">
        <w:rPr>
          <w:lang w:val="en-US"/>
        </w:rPr>
        <w:t xml:space="preserve"> – </w:t>
      </w:r>
      <w:r w:rsidR="005634C8" w:rsidRPr="005634C8">
        <w:rPr>
          <w:i/>
          <w:iCs/>
          <w:lang w:val="en-US"/>
        </w:rPr>
        <w:t>f</w:t>
      </w:r>
      <w:r w:rsidR="005634C8" w:rsidRPr="005634C8">
        <w:rPr>
          <w:vertAlign w:val="subscript"/>
          <w:lang w:val="en-US"/>
        </w:rPr>
        <w:t>3</w:t>
      </w:r>
      <w:r w:rsidR="005634C8">
        <w:rPr>
          <w:lang w:val="en-US"/>
        </w:rPr>
        <w:t xml:space="preserve">, </w:t>
      </w:r>
      <w:r w:rsidR="00EA5274">
        <w:rPr>
          <w:lang w:val="en-US"/>
        </w:rPr>
        <w:t xml:space="preserve">whilst UE1 </w:t>
      </w:r>
      <w:r w:rsidR="00E25C01">
        <w:rPr>
          <w:lang w:val="en-US"/>
        </w:rPr>
        <w:t xml:space="preserve">is </w:t>
      </w:r>
      <w:r w:rsidR="00EA5274">
        <w:rPr>
          <w:lang w:val="en-US"/>
        </w:rPr>
        <w:t>performing UL transmission in the UL subband.</w:t>
      </w:r>
    </w:p>
    <w:p w14:paraId="01159803" w14:textId="38600EE3" w:rsidR="006B3682" w:rsidRDefault="006B3682" w:rsidP="00A06D0D">
      <w:pPr>
        <w:spacing w:after="0"/>
        <w:rPr>
          <w:lang w:val="en-US"/>
        </w:rPr>
      </w:pPr>
    </w:p>
    <w:p w14:paraId="760F0C96" w14:textId="01120DC3" w:rsidR="006B3682" w:rsidRDefault="00E25C01" w:rsidP="006B3682">
      <w:pPr>
        <w:keepNext/>
        <w:spacing w:after="0"/>
        <w:jc w:val="center"/>
      </w:pPr>
      <w:r>
        <w:rPr>
          <w:noProof/>
        </w:rPr>
        <w:drawing>
          <wp:inline distT="0" distB="0" distL="0" distR="0" wp14:anchorId="34AB6499" wp14:editId="6C3324A7">
            <wp:extent cx="4742815" cy="35661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2815" cy="3566160"/>
                    </a:xfrm>
                    <a:prstGeom prst="rect">
                      <a:avLst/>
                    </a:prstGeom>
                    <a:noFill/>
                  </pic:spPr>
                </pic:pic>
              </a:graphicData>
            </a:graphic>
          </wp:inline>
        </w:drawing>
      </w:r>
    </w:p>
    <w:p w14:paraId="5827E2EB" w14:textId="6356382D" w:rsidR="006B3682" w:rsidRDefault="006B3682" w:rsidP="006B3682">
      <w:pPr>
        <w:pStyle w:val="Caption"/>
        <w:jc w:val="center"/>
        <w:rPr>
          <w:lang w:val="en-US"/>
        </w:rPr>
      </w:pPr>
      <w:bookmarkStart w:id="4" w:name="_Ref101448565"/>
      <w:r>
        <w:t xml:space="preserve">Figure </w:t>
      </w:r>
      <w:fldSimple w:instr=" SEQ Figure \* ARABIC ">
        <w:r w:rsidR="00F47E08">
          <w:rPr>
            <w:noProof/>
          </w:rPr>
          <w:t>3</w:t>
        </w:r>
      </w:fldSimple>
      <w:bookmarkEnd w:id="4"/>
      <w:r>
        <w:t>: ACI blocks measurements</w:t>
      </w:r>
    </w:p>
    <w:p w14:paraId="68F2FD7B" w14:textId="77777777" w:rsidR="006B3682" w:rsidRDefault="006B3682" w:rsidP="00A06D0D">
      <w:pPr>
        <w:spacing w:after="0"/>
        <w:rPr>
          <w:lang w:val="en-US"/>
        </w:rPr>
      </w:pPr>
    </w:p>
    <w:p w14:paraId="16F5E420" w14:textId="78E3C64C" w:rsidR="006B3682" w:rsidRDefault="00E25C01" w:rsidP="00A06D0D">
      <w:pPr>
        <w:spacing w:after="0"/>
        <w:rPr>
          <w:lang w:val="en-US"/>
        </w:rPr>
      </w:pPr>
      <w:r>
        <w:rPr>
          <w:lang w:val="en-US"/>
        </w:rPr>
        <w:t>In the legacy dynamic/flexible TDD, the SRS-RSRP and CLI-RSSI are reported in the RRC layer, since they are used to manage inter-cell CLI that requires higher layer inter</w:t>
      </w:r>
      <w:r w:rsidR="003620D0">
        <w:rPr>
          <w:lang w:val="en-US"/>
        </w:rPr>
        <w:t>-</w:t>
      </w:r>
      <w:r>
        <w:rPr>
          <w:lang w:val="en-US"/>
        </w:rPr>
        <w:t>cell signalling.  In contrast, intra-cell CLI does not require inter</w:t>
      </w:r>
      <w:r w:rsidR="003620D0">
        <w:rPr>
          <w:lang w:val="en-US"/>
        </w:rPr>
        <w:t>-</w:t>
      </w:r>
      <w:r>
        <w:rPr>
          <w:lang w:val="en-US"/>
        </w:rPr>
        <w:t xml:space="preserve">cell signalling but it is used for scheduling within the cell and hence, it is more beneficial to report the ACI block measurements </w:t>
      </w:r>
      <w:r w:rsidR="00953DBE">
        <w:rPr>
          <w:lang w:val="en-US"/>
        </w:rPr>
        <w:t xml:space="preserve">in </w:t>
      </w:r>
      <w:r>
        <w:rPr>
          <w:lang w:val="en-US"/>
        </w:rPr>
        <w:t xml:space="preserve">the physical layer rather than </w:t>
      </w:r>
      <w:r w:rsidR="00953DBE">
        <w:rPr>
          <w:lang w:val="en-US"/>
        </w:rPr>
        <w:t>in</w:t>
      </w:r>
      <w:r>
        <w:rPr>
          <w:lang w:val="en-US"/>
        </w:rPr>
        <w:t xml:space="preserve"> the RRC layer.</w:t>
      </w:r>
    </w:p>
    <w:p w14:paraId="41166DBA" w14:textId="147C5183" w:rsidR="00E25C01" w:rsidRDefault="00E25C01" w:rsidP="00A06D0D">
      <w:pPr>
        <w:spacing w:after="0"/>
        <w:rPr>
          <w:lang w:val="en-US"/>
        </w:rPr>
      </w:pPr>
    </w:p>
    <w:p w14:paraId="34F6029C" w14:textId="77777777" w:rsidR="00953DBE" w:rsidRPr="00953DBE" w:rsidRDefault="00E25C01" w:rsidP="00A06D0D">
      <w:pPr>
        <w:spacing w:after="0"/>
        <w:rPr>
          <w:b/>
          <w:bCs/>
          <w:lang w:val="en-US"/>
        </w:rPr>
      </w:pPr>
      <w:r w:rsidRPr="00953DBE">
        <w:rPr>
          <w:b/>
          <w:bCs/>
          <w:lang w:val="en-US"/>
        </w:rPr>
        <w:t xml:space="preserve">Proposal 2:  To manage intra-cell CLI, a DL subband is divided in the frequency domain into ACI blocks, where a UE </w:t>
      </w:r>
      <w:r w:rsidR="00953DBE" w:rsidRPr="00953DBE">
        <w:rPr>
          <w:b/>
          <w:bCs/>
          <w:lang w:val="en-US"/>
        </w:rPr>
        <w:t>performs SRS interference measurements on these ACI blocks whilst another UE is transmitting SRS in an UL subband.</w:t>
      </w:r>
    </w:p>
    <w:p w14:paraId="0AC6546C" w14:textId="77777777" w:rsidR="00953DBE" w:rsidRPr="00953DBE" w:rsidRDefault="00953DBE" w:rsidP="00A06D0D">
      <w:pPr>
        <w:spacing w:after="0"/>
        <w:rPr>
          <w:b/>
          <w:bCs/>
          <w:lang w:val="en-US"/>
        </w:rPr>
      </w:pPr>
    </w:p>
    <w:p w14:paraId="1AE48DD8" w14:textId="422310DF" w:rsidR="00953DBE" w:rsidRPr="00953DBE" w:rsidRDefault="00953DBE" w:rsidP="00A06D0D">
      <w:pPr>
        <w:spacing w:after="0"/>
        <w:rPr>
          <w:b/>
          <w:bCs/>
          <w:lang w:val="en-US"/>
        </w:rPr>
      </w:pPr>
      <w:r w:rsidRPr="00953DBE">
        <w:rPr>
          <w:b/>
          <w:bCs/>
          <w:lang w:val="en-US"/>
        </w:rPr>
        <w:t>Proposal 3: The SRS interference measurement in an ACI block can be measured as the SNR</w:t>
      </w:r>
      <w:r w:rsidR="00B33AEB">
        <w:rPr>
          <w:b/>
          <w:bCs/>
          <w:lang w:val="en-US"/>
        </w:rPr>
        <w:t xml:space="preserve"> (or INR)</w:t>
      </w:r>
      <w:r w:rsidRPr="00953DBE">
        <w:rPr>
          <w:b/>
          <w:bCs/>
          <w:lang w:val="en-US"/>
        </w:rPr>
        <w:t xml:space="preserve"> of the SRS.</w:t>
      </w:r>
    </w:p>
    <w:p w14:paraId="36B92210" w14:textId="77777777" w:rsidR="00953DBE" w:rsidRPr="00953DBE" w:rsidRDefault="00953DBE" w:rsidP="00A06D0D">
      <w:pPr>
        <w:spacing w:after="0"/>
        <w:rPr>
          <w:b/>
          <w:bCs/>
          <w:lang w:val="en-US"/>
        </w:rPr>
      </w:pPr>
    </w:p>
    <w:p w14:paraId="165C29DF" w14:textId="553B4B84" w:rsidR="00953DBE" w:rsidRPr="00953DBE" w:rsidRDefault="00953DBE" w:rsidP="00A06D0D">
      <w:pPr>
        <w:spacing w:after="0"/>
        <w:rPr>
          <w:b/>
          <w:bCs/>
          <w:lang w:val="en-US"/>
        </w:rPr>
      </w:pPr>
      <w:r w:rsidRPr="00953DBE">
        <w:rPr>
          <w:b/>
          <w:bCs/>
          <w:lang w:val="en-US"/>
        </w:rPr>
        <w:t>Proposal 4: The ACI block measurements are reported in the Physical Layer.</w:t>
      </w:r>
    </w:p>
    <w:p w14:paraId="058AC657" w14:textId="77777777" w:rsidR="00953DBE" w:rsidRDefault="00953DBE" w:rsidP="00A06D0D">
      <w:pPr>
        <w:spacing w:after="0"/>
        <w:rPr>
          <w:lang w:val="en-US"/>
        </w:rPr>
      </w:pPr>
    </w:p>
    <w:p w14:paraId="56677655" w14:textId="77777777" w:rsidR="00953DBE" w:rsidRDefault="00953DBE" w:rsidP="00A06D0D">
      <w:pPr>
        <w:spacing w:after="0"/>
        <w:rPr>
          <w:lang w:val="en-US"/>
        </w:rPr>
      </w:pPr>
    </w:p>
    <w:p w14:paraId="65CA5BA3" w14:textId="77E67A3D" w:rsidR="008C1E98" w:rsidRDefault="004244AA" w:rsidP="00A06D0D">
      <w:pPr>
        <w:spacing w:after="0"/>
        <w:rPr>
          <w:lang w:val="en-US"/>
        </w:rPr>
      </w:pPr>
      <w:r>
        <w:rPr>
          <w:lang w:val="en-US"/>
        </w:rPr>
        <w:t xml:space="preserve">The gNB can schedule the PDSCH MCS </w:t>
      </w:r>
      <w:r w:rsidR="0094448C">
        <w:rPr>
          <w:lang w:val="en-US"/>
        </w:rPr>
        <w:t xml:space="preserve">(Modulation &amp; Coding Scheme) </w:t>
      </w:r>
      <w:r>
        <w:rPr>
          <w:lang w:val="en-US"/>
        </w:rPr>
        <w:t xml:space="preserve">based on the reported SRS interference in the ACI block measurements.  For example in </w:t>
      </w:r>
      <w:r>
        <w:rPr>
          <w:lang w:val="en-US"/>
        </w:rPr>
        <w:fldChar w:fldCharType="begin"/>
      </w:r>
      <w:r>
        <w:rPr>
          <w:lang w:val="en-US"/>
        </w:rPr>
        <w:instrText xml:space="preserve"> REF _Ref101455814 \h </w:instrText>
      </w:r>
      <w:r>
        <w:rPr>
          <w:lang w:val="en-US"/>
        </w:rPr>
      </w:r>
      <w:r>
        <w:rPr>
          <w:lang w:val="en-US"/>
        </w:rPr>
        <w:fldChar w:fldCharType="separate"/>
      </w:r>
      <w:r>
        <w:t xml:space="preserve">Figure </w:t>
      </w:r>
      <w:r>
        <w:rPr>
          <w:noProof/>
        </w:rPr>
        <w:t>4</w:t>
      </w:r>
      <w:r>
        <w:rPr>
          <w:lang w:val="en-US"/>
        </w:rPr>
        <w:fldChar w:fldCharType="end"/>
      </w:r>
      <w:r>
        <w:rPr>
          <w:lang w:val="en-US"/>
        </w:rPr>
        <w:t xml:space="preserve">, a UE may report measurements for four ACI blocks {ACI#1, ACI#2, ACI#3, ACI#4} in a DL subband.  Since the ACI level is higher in ACI#1 compared to ACI#2, the gNB may schedule a PDSCH, e.g. PDSCH#1, </w:t>
      </w:r>
      <w:r w:rsidR="003620D0">
        <w:rPr>
          <w:lang w:val="en-US"/>
        </w:rPr>
        <w:t xml:space="preserve">occupying </w:t>
      </w:r>
      <w:r w:rsidRPr="004244AA">
        <w:rPr>
          <w:i/>
          <w:iCs/>
          <w:lang w:val="en-US"/>
        </w:rPr>
        <w:t>f</w:t>
      </w:r>
      <w:r w:rsidRPr="004244AA">
        <w:rPr>
          <w:vertAlign w:val="subscript"/>
          <w:lang w:val="en-US"/>
        </w:rPr>
        <w:t>2</w:t>
      </w:r>
      <w:r>
        <w:rPr>
          <w:lang w:val="en-US"/>
        </w:rPr>
        <w:t xml:space="preserve"> – </w:t>
      </w:r>
      <w:r w:rsidRPr="004244AA">
        <w:rPr>
          <w:i/>
          <w:iCs/>
          <w:lang w:val="en-US"/>
        </w:rPr>
        <w:t>f</w:t>
      </w:r>
      <w:r w:rsidRPr="004244AA">
        <w:rPr>
          <w:vertAlign w:val="subscript"/>
          <w:lang w:val="en-US"/>
        </w:rPr>
        <w:t>3</w:t>
      </w:r>
      <w:r>
        <w:rPr>
          <w:lang w:val="en-US"/>
        </w:rPr>
        <w:t xml:space="preserve"> (within ACI#1) with a low MCS, e.g. MCS 2 or a PDSCH, e.g. PDSCH#2, </w:t>
      </w:r>
      <w:r w:rsidR="003620D0">
        <w:rPr>
          <w:lang w:val="en-US"/>
        </w:rPr>
        <w:t xml:space="preserve">occupying </w:t>
      </w:r>
      <w:r w:rsidRPr="004244AA">
        <w:rPr>
          <w:i/>
          <w:iCs/>
          <w:lang w:val="en-US"/>
        </w:rPr>
        <w:t>f</w:t>
      </w:r>
      <w:r>
        <w:rPr>
          <w:vertAlign w:val="subscript"/>
          <w:lang w:val="en-US"/>
        </w:rPr>
        <w:t>3</w:t>
      </w:r>
      <w:r>
        <w:rPr>
          <w:lang w:val="en-US"/>
        </w:rPr>
        <w:t xml:space="preserve"> – </w:t>
      </w:r>
      <w:r w:rsidRPr="004244AA">
        <w:rPr>
          <w:i/>
          <w:iCs/>
          <w:lang w:val="en-US"/>
        </w:rPr>
        <w:t>f</w:t>
      </w:r>
      <w:r>
        <w:rPr>
          <w:vertAlign w:val="subscript"/>
          <w:lang w:val="en-US"/>
        </w:rPr>
        <w:t>4</w:t>
      </w:r>
      <w:r>
        <w:rPr>
          <w:lang w:val="en-US"/>
        </w:rPr>
        <w:t xml:space="preserve"> (within ACI#2) with a higher MCS, e.g. MCS 5.  However, if the gNB wishes to schedule a PDSCH, e.g. PDSCH#3, that occupies larger frequency resources, e.g. </w:t>
      </w:r>
      <w:r w:rsidRPr="004244AA">
        <w:rPr>
          <w:i/>
          <w:iCs/>
          <w:lang w:val="en-US"/>
        </w:rPr>
        <w:t>f</w:t>
      </w:r>
      <w:r w:rsidRPr="004244AA">
        <w:rPr>
          <w:vertAlign w:val="subscript"/>
          <w:lang w:val="en-US"/>
        </w:rPr>
        <w:t>2</w:t>
      </w:r>
      <w:r>
        <w:rPr>
          <w:lang w:val="en-US"/>
        </w:rPr>
        <w:t xml:space="preserve"> – </w:t>
      </w:r>
      <w:r w:rsidRPr="004244AA">
        <w:rPr>
          <w:i/>
          <w:iCs/>
          <w:lang w:val="en-US"/>
        </w:rPr>
        <w:t>f</w:t>
      </w:r>
      <w:r w:rsidRPr="004244AA">
        <w:rPr>
          <w:vertAlign w:val="subscript"/>
          <w:lang w:val="en-US"/>
        </w:rPr>
        <w:t>4</w:t>
      </w:r>
      <w:r>
        <w:rPr>
          <w:lang w:val="en-US"/>
        </w:rPr>
        <w:t xml:space="preserve">, </w:t>
      </w:r>
      <w:r w:rsidR="00F023EF">
        <w:rPr>
          <w:lang w:val="en-US"/>
        </w:rPr>
        <w:t xml:space="preserve">to ensure the UE can decode the RBs with high ACI in </w:t>
      </w:r>
      <w:r w:rsidR="00F023EF" w:rsidRPr="00F023EF">
        <w:rPr>
          <w:i/>
          <w:iCs/>
          <w:lang w:val="en-US"/>
        </w:rPr>
        <w:t>f</w:t>
      </w:r>
      <w:r w:rsidR="00F023EF" w:rsidRPr="00F023EF">
        <w:rPr>
          <w:vertAlign w:val="subscript"/>
          <w:lang w:val="en-US"/>
        </w:rPr>
        <w:t>2</w:t>
      </w:r>
      <w:r w:rsidR="00F023EF">
        <w:rPr>
          <w:lang w:val="en-US"/>
        </w:rPr>
        <w:t xml:space="preserve"> – </w:t>
      </w:r>
      <w:r w:rsidR="00F023EF" w:rsidRPr="00F023EF">
        <w:rPr>
          <w:i/>
          <w:iCs/>
          <w:lang w:val="en-US"/>
        </w:rPr>
        <w:t>f</w:t>
      </w:r>
      <w:r w:rsidR="00F023EF" w:rsidRPr="00F023EF">
        <w:rPr>
          <w:vertAlign w:val="subscript"/>
          <w:lang w:val="en-US"/>
        </w:rPr>
        <w:t>3</w:t>
      </w:r>
      <w:r w:rsidR="00F023EF">
        <w:rPr>
          <w:lang w:val="en-US"/>
        </w:rPr>
        <w:t>, the gNB</w:t>
      </w:r>
      <w:r>
        <w:rPr>
          <w:lang w:val="en-US"/>
        </w:rPr>
        <w:t xml:space="preserve"> may have to use a lower MCS, e.g. MCS 2, despite some of the </w:t>
      </w:r>
      <w:r w:rsidR="00F023EF">
        <w:rPr>
          <w:lang w:val="en-US"/>
        </w:rPr>
        <w:t xml:space="preserve">frequency resources </w:t>
      </w:r>
      <w:r w:rsidR="00F023EF" w:rsidRPr="00F023EF">
        <w:rPr>
          <w:i/>
          <w:iCs/>
          <w:lang w:val="en-US"/>
        </w:rPr>
        <w:t>f</w:t>
      </w:r>
      <w:r w:rsidR="00F023EF" w:rsidRPr="00F023EF">
        <w:rPr>
          <w:vertAlign w:val="subscript"/>
          <w:lang w:val="en-US"/>
        </w:rPr>
        <w:t>3</w:t>
      </w:r>
      <w:r w:rsidR="00F023EF">
        <w:rPr>
          <w:lang w:val="en-US"/>
        </w:rPr>
        <w:t xml:space="preserve"> – </w:t>
      </w:r>
      <w:r w:rsidR="00F023EF" w:rsidRPr="00F023EF">
        <w:rPr>
          <w:i/>
          <w:iCs/>
          <w:lang w:val="en-US"/>
        </w:rPr>
        <w:t>f</w:t>
      </w:r>
      <w:r w:rsidR="00F023EF" w:rsidRPr="00F023EF">
        <w:rPr>
          <w:vertAlign w:val="subscript"/>
          <w:lang w:val="en-US"/>
        </w:rPr>
        <w:t>4</w:t>
      </w:r>
      <w:r w:rsidR="00F023EF">
        <w:rPr>
          <w:lang w:val="en-US"/>
        </w:rPr>
        <w:t xml:space="preserve"> </w:t>
      </w:r>
      <w:r w:rsidR="008931D2">
        <w:rPr>
          <w:lang w:val="en-US"/>
        </w:rPr>
        <w:t xml:space="preserve">being able to </w:t>
      </w:r>
      <w:r w:rsidR="00F023EF">
        <w:rPr>
          <w:lang w:val="en-US"/>
        </w:rPr>
        <w:t>support a higher MCS.  That is, since the ACI level is non-uniform across a DL subband, a PDSCH occupying RBs with different levels of ACI may underutilize the frequency resources.</w:t>
      </w:r>
    </w:p>
    <w:p w14:paraId="28060B40" w14:textId="0AEA6A2C" w:rsidR="00232D32" w:rsidRDefault="00232D32" w:rsidP="00A06D0D">
      <w:pPr>
        <w:spacing w:after="0"/>
        <w:rPr>
          <w:lang w:val="en-US"/>
        </w:rPr>
      </w:pPr>
    </w:p>
    <w:p w14:paraId="6D3DE565" w14:textId="5C20FBDE" w:rsidR="004244AA" w:rsidRDefault="004244AA" w:rsidP="004244AA">
      <w:pPr>
        <w:keepNext/>
        <w:spacing w:after="0"/>
        <w:jc w:val="center"/>
      </w:pPr>
      <w:r>
        <w:rPr>
          <w:noProof/>
        </w:rPr>
        <w:drawing>
          <wp:inline distT="0" distB="0" distL="0" distR="0" wp14:anchorId="76588733" wp14:editId="52171F84">
            <wp:extent cx="4749165" cy="22009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9165" cy="2200910"/>
                    </a:xfrm>
                    <a:prstGeom prst="rect">
                      <a:avLst/>
                    </a:prstGeom>
                    <a:noFill/>
                  </pic:spPr>
                </pic:pic>
              </a:graphicData>
            </a:graphic>
          </wp:inline>
        </w:drawing>
      </w:r>
    </w:p>
    <w:p w14:paraId="5DF7DE3E" w14:textId="7246602F" w:rsidR="00232D32" w:rsidRDefault="004244AA" w:rsidP="004244AA">
      <w:pPr>
        <w:pStyle w:val="Caption"/>
        <w:jc w:val="center"/>
        <w:rPr>
          <w:lang w:val="en-US"/>
        </w:rPr>
      </w:pPr>
      <w:bookmarkStart w:id="5" w:name="_Ref101455814"/>
      <w:r>
        <w:t xml:space="preserve">Figure </w:t>
      </w:r>
      <w:fldSimple w:instr=" SEQ Figure \* ARABIC ">
        <w:r w:rsidR="00F47E08">
          <w:rPr>
            <w:noProof/>
          </w:rPr>
          <w:t>4</w:t>
        </w:r>
      </w:fldSimple>
      <w:bookmarkEnd w:id="5"/>
      <w:r>
        <w:t>: Scheduled PDSCH MCS based on ACI blocks measurements</w:t>
      </w:r>
    </w:p>
    <w:p w14:paraId="26BBA408" w14:textId="07909C54" w:rsidR="00232D32" w:rsidRDefault="00232D32" w:rsidP="00A06D0D">
      <w:pPr>
        <w:spacing w:after="0"/>
        <w:rPr>
          <w:lang w:val="en-US"/>
        </w:rPr>
      </w:pPr>
    </w:p>
    <w:p w14:paraId="700922C0" w14:textId="17DC5841" w:rsidR="00F023EF" w:rsidRPr="00F023EF" w:rsidRDefault="00F023EF" w:rsidP="00F023EF">
      <w:pPr>
        <w:spacing w:after="0"/>
        <w:rPr>
          <w:b/>
          <w:bCs/>
          <w:lang w:val="en-US"/>
        </w:rPr>
      </w:pPr>
      <w:r w:rsidRPr="00F023EF">
        <w:rPr>
          <w:b/>
          <w:bCs/>
          <w:lang w:val="en-US"/>
        </w:rPr>
        <w:t>Observation 2: Since the ACI level is non-uniform across a DL subband, a PDSCH occupying RBs with different levels of ACI may underutilize the frequency resources.</w:t>
      </w:r>
    </w:p>
    <w:p w14:paraId="51C9F8B0" w14:textId="29870EDF" w:rsidR="00232D32" w:rsidRDefault="00232D32" w:rsidP="00A06D0D">
      <w:pPr>
        <w:spacing w:after="0"/>
        <w:rPr>
          <w:lang w:val="en-US"/>
        </w:rPr>
      </w:pPr>
    </w:p>
    <w:p w14:paraId="286C1B5F" w14:textId="77777777" w:rsidR="00232D32" w:rsidRDefault="00232D32" w:rsidP="00A06D0D">
      <w:pPr>
        <w:spacing w:after="0"/>
        <w:rPr>
          <w:lang w:val="en-US"/>
        </w:rPr>
      </w:pPr>
    </w:p>
    <w:p w14:paraId="0FB700DB" w14:textId="5FEC6D85" w:rsidR="008C1E98" w:rsidRDefault="00D2698E" w:rsidP="00A06D0D">
      <w:pPr>
        <w:spacing w:after="0"/>
        <w:rPr>
          <w:lang w:val="en-US"/>
        </w:rPr>
      </w:pPr>
      <w:r>
        <w:rPr>
          <w:lang w:val="en-US"/>
        </w:rPr>
        <w:t xml:space="preserve">One way to utilize the frequency resource with non-uniform ACI in a DL subband is to allow non-uniform MCS to be scheduled in a PDSCH.  That is the PDSCH can be scheduled with more than one MCS, where the RBs with high ACI </w:t>
      </w:r>
      <w:r w:rsidR="003C7917">
        <w:rPr>
          <w:lang w:val="en-US"/>
        </w:rPr>
        <w:t xml:space="preserve">are </w:t>
      </w:r>
      <w:r>
        <w:rPr>
          <w:lang w:val="en-US"/>
        </w:rPr>
        <w:t>scheduled with low MCS and vice-versa.  An example</w:t>
      </w:r>
      <w:r w:rsidR="0094448C">
        <w:rPr>
          <w:lang w:val="en-US"/>
        </w:rPr>
        <w:t xml:space="preserve"> is shown in </w:t>
      </w:r>
      <w:r w:rsidR="0094448C">
        <w:rPr>
          <w:lang w:val="en-US"/>
        </w:rPr>
        <w:fldChar w:fldCharType="begin"/>
      </w:r>
      <w:r w:rsidR="0094448C">
        <w:rPr>
          <w:lang w:val="en-US"/>
        </w:rPr>
        <w:instrText xml:space="preserve"> REF _Ref101457360 \h </w:instrText>
      </w:r>
      <w:r w:rsidR="0094448C">
        <w:rPr>
          <w:lang w:val="en-US"/>
        </w:rPr>
      </w:r>
      <w:r w:rsidR="0094448C">
        <w:rPr>
          <w:lang w:val="en-US"/>
        </w:rPr>
        <w:fldChar w:fldCharType="separate"/>
      </w:r>
      <w:r w:rsidR="0094448C">
        <w:t xml:space="preserve">Figure </w:t>
      </w:r>
      <w:r w:rsidR="0094448C">
        <w:rPr>
          <w:noProof/>
        </w:rPr>
        <w:t>5</w:t>
      </w:r>
      <w:r w:rsidR="0094448C">
        <w:rPr>
          <w:lang w:val="en-US"/>
        </w:rPr>
        <w:fldChar w:fldCharType="end"/>
      </w:r>
      <w:r w:rsidR="0094448C">
        <w:rPr>
          <w:lang w:val="en-US"/>
        </w:rPr>
        <w:t xml:space="preserve">, where a PDSCH, e.g. PDSCH#3, is scheduled in RBs across </w:t>
      </w:r>
      <w:r w:rsidR="0094448C" w:rsidRPr="0094448C">
        <w:rPr>
          <w:i/>
          <w:iCs/>
          <w:lang w:val="en-US"/>
        </w:rPr>
        <w:t>f</w:t>
      </w:r>
      <w:r w:rsidR="0094448C" w:rsidRPr="0094448C">
        <w:rPr>
          <w:vertAlign w:val="subscript"/>
          <w:lang w:val="en-US"/>
        </w:rPr>
        <w:t>2</w:t>
      </w:r>
      <w:r w:rsidR="0094448C">
        <w:rPr>
          <w:lang w:val="en-US"/>
        </w:rPr>
        <w:t xml:space="preserve"> – </w:t>
      </w:r>
      <w:r w:rsidR="0094448C" w:rsidRPr="0094448C">
        <w:rPr>
          <w:i/>
          <w:iCs/>
          <w:lang w:val="en-US"/>
        </w:rPr>
        <w:t>f</w:t>
      </w:r>
      <w:r w:rsidR="0094448C" w:rsidRPr="0094448C">
        <w:rPr>
          <w:vertAlign w:val="subscript"/>
          <w:lang w:val="en-US"/>
        </w:rPr>
        <w:t>4</w:t>
      </w:r>
      <w:r w:rsidR="0094448C">
        <w:rPr>
          <w:lang w:val="en-US"/>
        </w:rPr>
        <w:t xml:space="preserve">, experiencing different levels of ACI as measured in ACI blocks ACI#1 and ACI#2.  Instead of scheduling a single MCS, e.g. MCS 2, for PDSCH#3, the gNB can schedule the portion of PDSCH occupying </w:t>
      </w:r>
      <w:r w:rsidR="0094448C" w:rsidRPr="0094448C">
        <w:rPr>
          <w:i/>
          <w:iCs/>
          <w:lang w:val="en-US"/>
        </w:rPr>
        <w:t>f</w:t>
      </w:r>
      <w:r w:rsidR="0094448C" w:rsidRPr="0094448C">
        <w:rPr>
          <w:vertAlign w:val="subscript"/>
          <w:lang w:val="en-US"/>
        </w:rPr>
        <w:t>2</w:t>
      </w:r>
      <w:r w:rsidR="0094448C">
        <w:rPr>
          <w:lang w:val="en-US"/>
        </w:rPr>
        <w:t xml:space="preserve"> – </w:t>
      </w:r>
      <w:r w:rsidR="0094448C" w:rsidRPr="0094448C">
        <w:rPr>
          <w:i/>
          <w:iCs/>
          <w:lang w:val="en-US"/>
        </w:rPr>
        <w:t>f</w:t>
      </w:r>
      <w:r w:rsidR="0094448C" w:rsidRPr="0094448C">
        <w:rPr>
          <w:vertAlign w:val="subscript"/>
          <w:lang w:val="en-US"/>
        </w:rPr>
        <w:t>3</w:t>
      </w:r>
      <w:r w:rsidR="0094448C">
        <w:rPr>
          <w:lang w:val="en-US"/>
        </w:rPr>
        <w:t xml:space="preserve"> with MCS 2 and the remaining portion </w:t>
      </w:r>
      <w:r w:rsidR="0094448C" w:rsidRPr="0094448C">
        <w:rPr>
          <w:i/>
          <w:iCs/>
          <w:lang w:val="en-US"/>
        </w:rPr>
        <w:t>f</w:t>
      </w:r>
      <w:r w:rsidR="0094448C" w:rsidRPr="0094448C">
        <w:rPr>
          <w:vertAlign w:val="subscript"/>
          <w:lang w:val="en-US"/>
        </w:rPr>
        <w:t>3</w:t>
      </w:r>
      <w:r w:rsidR="0094448C">
        <w:rPr>
          <w:lang w:val="en-US"/>
        </w:rPr>
        <w:t xml:space="preserve"> – </w:t>
      </w:r>
      <w:r w:rsidR="0094448C" w:rsidRPr="0094448C">
        <w:rPr>
          <w:i/>
          <w:iCs/>
          <w:lang w:val="en-US"/>
        </w:rPr>
        <w:t>f</w:t>
      </w:r>
      <w:r w:rsidR="0094448C" w:rsidRPr="0094448C">
        <w:rPr>
          <w:vertAlign w:val="subscript"/>
          <w:lang w:val="en-US"/>
        </w:rPr>
        <w:t>4</w:t>
      </w:r>
      <w:r w:rsidR="0094448C">
        <w:rPr>
          <w:lang w:val="en-US"/>
        </w:rPr>
        <w:t xml:space="preserve"> with a higher MCS, e.g. MCS 5.  This enables the gNB to fully utilize the frequency resources in a DL subband that has different levels of ACI.</w:t>
      </w:r>
      <w:r w:rsidR="00EC1C62">
        <w:rPr>
          <w:lang w:val="en-US"/>
        </w:rPr>
        <w:t xml:space="preserve">  The non-uniform MCS can be implemented </w:t>
      </w:r>
      <w:r w:rsidR="009A1C02">
        <w:rPr>
          <w:lang w:val="en-US"/>
        </w:rPr>
        <w:t xml:space="preserve">in Code Block segmentations where </w:t>
      </w:r>
      <w:r w:rsidR="00F51E98">
        <w:rPr>
          <w:lang w:val="en-US"/>
        </w:rPr>
        <w:t xml:space="preserve">different </w:t>
      </w:r>
      <w:r w:rsidR="002C4A0E">
        <w:rPr>
          <w:lang w:val="en-US"/>
        </w:rPr>
        <w:t>sets of Code Blocks or Code Block Groups use different MCS in a PDSCH.</w:t>
      </w:r>
    </w:p>
    <w:p w14:paraId="56F01117" w14:textId="52CC9238" w:rsidR="00D2698E" w:rsidRDefault="00D2698E" w:rsidP="00A06D0D">
      <w:pPr>
        <w:spacing w:after="0"/>
        <w:rPr>
          <w:lang w:val="en-US"/>
        </w:rPr>
      </w:pPr>
    </w:p>
    <w:p w14:paraId="5C2F5FD7" w14:textId="77777777" w:rsidR="00D2698E" w:rsidRDefault="00D2698E" w:rsidP="00D2698E">
      <w:pPr>
        <w:keepNext/>
        <w:spacing w:after="0"/>
        <w:jc w:val="center"/>
      </w:pPr>
      <w:r>
        <w:rPr>
          <w:noProof/>
          <w:lang w:val="en-US"/>
        </w:rPr>
        <w:lastRenderedPageBreak/>
        <w:drawing>
          <wp:inline distT="0" distB="0" distL="0" distR="0" wp14:anchorId="434D4DE1" wp14:editId="0A286290">
            <wp:extent cx="4749165" cy="22009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49165" cy="2200910"/>
                    </a:xfrm>
                    <a:prstGeom prst="rect">
                      <a:avLst/>
                    </a:prstGeom>
                    <a:noFill/>
                  </pic:spPr>
                </pic:pic>
              </a:graphicData>
            </a:graphic>
          </wp:inline>
        </w:drawing>
      </w:r>
    </w:p>
    <w:p w14:paraId="0D1259A5" w14:textId="25BB8D5D" w:rsidR="00D2698E" w:rsidRDefault="00D2698E" w:rsidP="00D2698E">
      <w:pPr>
        <w:pStyle w:val="Caption"/>
        <w:jc w:val="center"/>
        <w:rPr>
          <w:lang w:val="en-US"/>
        </w:rPr>
      </w:pPr>
      <w:bookmarkStart w:id="6" w:name="_Ref101457360"/>
      <w:r>
        <w:t xml:space="preserve">Figure </w:t>
      </w:r>
      <w:fldSimple w:instr=" SEQ Figure \* ARABIC ">
        <w:r w:rsidR="00F47E08">
          <w:rPr>
            <w:noProof/>
          </w:rPr>
          <w:t>5</w:t>
        </w:r>
      </w:fldSimple>
      <w:bookmarkEnd w:id="6"/>
      <w:r>
        <w:t>: Non-uniform MCS scheduling in a PDSCH</w:t>
      </w:r>
    </w:p>
    <w:p w14:paraId="3CA14D4D" w14:textId="131F5BC4" w:rsidR="00D2698E" w:rsidRDefault="00D2698E" w:rsidP="00A06D0D">
      <w:pPr>
        <w:spacing w:after="0"/>
        <w:rPr>
          <w:lang w:val="en-US"/>
        </w:rPr>
      </w:pPr>
    </w:p>
    <w:p w14:paraId="35102B0C" w14:textId="35D737B0" w:rsidR="00D2698E" w:rsidRPr="0094448C" w:rsidRDefault="0094448C" w:rsidP="00A06D0D">
      <w:pPr>
        <w:spacing w:after="0"/>
        <w:rPr>
          <w:b/>
          <w:bCs/>
          <w:lang w:val="en-US"/>
        </w:rPr>
      </w:pPr>
      <w:r w:rsidRPr="0094448C">
        <w:rPr>
          <w:b/>
          <w:bCs/>
          <w:lang w:val="en-US"/>
        </w:rPr>
        <w:t xml:space="preserve">Proposal 5: Support </w:t>
      </w:r>
      <w:r w:rsidR="00814855">
        <w:rPr>
          <w:b/>
          <w:bCs/>
          <w:lang w:val="en-US"/>
        </w:rPr>
        <w:t xml:space="preserve">non-uniform MCS, where </w:t>
      </w:r>
      <w:r w:rsidRPr="0094448C">
        <w:rPr>
          <w:b/>
          <w:bCs/>
          <w:lang w:val="en-US"/>
        </w:rPr>
        <w:t xml:space="preserve">more than one MCS </w:t>
      </w:r>
      <w:r w:rsidR="00814855">
        <w:rPr>
          <w:b/>
          <w:bCs/>
          <w:lang w:val="en-US"/>
        </w:rPr>
        <w:t xml:space="preserve">can be used </w:t>
      </w:r>
      <w:r w:rsidRPr="0094448C">
        <w:rPr>
          <w:b/>
          <w:bCs/>
          <w:lang w:val="en-US"/>
        </w:rPr>
        <w:t>in a PDSCH such that different set</w:t>
      </w:r>
      <w:r w:rsidR="003620D0">
        <w:rPr>
          <w:b/>
          <w:bCs/>
          <w:lang w:val="en-US"/>
        </w:rPr>
        <w:t>s</w:t>
      </w:r>
      <w:r w:rsidRPr="0094448C">
        <w:rPr>
          <w:b/>
          <w:bCs/>
          <w:lang w:val="en-US"/>
        </w:rPr>
        <w:t xml:space="preserve"> of RBs within the PDSCH can have different MCS.</w:t>
      </w:r>
    </w:p>
    <w:p w14:paraId="2C11F36B" w14:textId="47B422D1" w:rsidR="0094448C" w:rsidRDefault="0094448C" w:rsidP="00A06D0D">
      <w:pPr>
        <w:spacing w:after="0"/>
        <w:rPr>
          <w:lang w:val="en-US"/>
        </w:rPr>
      </w:pPr>
    </w:p>
    <w:p w14:paraId="64A888AF" w14:textId="30909CD5" w:rsidR="0094448C" w:rsidRDefault="0094448C" w:rsidP="00A06D0D">
      <w:pPr>
        <w:spacing w:after="0"/>
        <w:rPr>
          <w:lang w:val="en-US"/>
        </w:rPr>
      </w:pPr>
    </w:p>
    <w:p w14:paraId="36DD6980" w14:textId="05D135AB" w:rsidR="0094448C" w:rsidRDefault="00566A1B" w:rsidP="00A06D0D">
      <w:pPr>
        <w:spacing w:after="0"/>
        <w:rPr>
          <w:lang w:val="en-US"/>
        </w:rPr>
      </w:pPr>
      <w:r>
        <w:rPr>
          <w:lang w:val="en-US"/>
        </w:rPr>
        <w:t>Since t</w:t>
      </w:r>
      <w:r w:rsidR="009807B3">
        <w:rPr>
          <w:lang w:val="en-US"/>
        </w:rPr>
        <w:t>he level of ACI in a DL subband depends on the level of transmit power in an adjacent UL subband</w:t>
      </w:r>
      <w:r>
        <w:rPr>
          <w:lang w:val="en-US"/>
        </w:rPr>
        <w:t xml:space="preserve">, by reducing the transmit power for RBs </w:t>
      </w:r>
      <w:r w:rsidR="00C900B7">
        <w:rPr>
          <w:lang w:val="en-US"/>
        </w:rPr>
        <w:t>at</w:t>
      </w:r>
      <w:r>
        <w:rPr>
          <w:lang w:val="en-US"/>
        </w:rPr>
        <w:t xml:space="preserve"> the edge of an UL subband</w:t>
      </w:r>
      <w:r w:rsidR="00C900B7">
        <w:rPr>
          <w:lang w:val="en-US"/>
        </w:rPr>
        <w:t>, the ACI would be reduced in the adjacent DL subband.</w:t>
      </w:r>
      <w:r w:rsidR="0043057A">
        <w:rPr>
          <w:lang w:val="en-US"/>
        </w:rPr>
        <w:t xml:space="preserve">  An example is to introduce a power offset for some </w:t>
      </w:r>
      <w:r w:rsidR="006B52C4">
        <w:rPr>
          <w:lang w:val="en-US"/>
        </w:rPr>
        <w:t xml:space="preserve">frequency </w:t>
      </w:r>
      <w:r w:rsidR="0043057A">
        <w:rPr>
          <w:lang w:val="en-US"/>
        </w:rPr>
        <w:t xml:space="preserve">regions in the UL subband as shown in </w:t>
      </w:r>
      <w:r w:rsidR="006B52C4">
        <w:rPr>
          <w:lang w:val="en-US"/>
        </w:rPr>
        <w:fldChar w:fldCharType="begin"/>
      </w:r>
      <w:r w:rsidR="006B52C4">
        <w:rPr>
          <w:lang w:val="en-US"/>
        </w:rPr>
        <w:instrText xml:space="preserve"> REF _Ref101529080 \h </w:instrText>
      </w:r>
      <w:r w:rsidR="006B52C4">
        <w:rPr>
          <w:lang w:val="en-US"/>
        </w:rPr>
      </w:r>
      <w:r w:rsidR="006B52C4">
        <w:rPr>
          <w:lang w:val="en-US"/>
        </w:rPr>
        <w:fldChar w:fldCharType="separate"/>
      </w:r>
      <w:r w:rsidR="006B52C4">
        <w:t xml:space="preserve">Figure </w:t>
      </w:r>
      <w:r w:rsidR="006B52C4">
        <w:rPr>
          <w:noProof/>
        </w:rPr>
        <w:t>6</w:t>
      </w:r>
      <w:r w:rsidR="006B52C4">
        <w:rPr>
          <w:lang w:val="en-US"/>
        </w:rPr>
        <w:fldChar w:fldCharType="end"/>
      </w:r>
      <w:r w:rsidR="006B52C4">
        <w:rPr>
          <w:lang w:val="en-US"/>
        </w:rPr>
        <w:t>, where the system bandwidth is divided into two UL subbands {Subband#1, Subband#3} and two DL subbands {Subband#2, Subband#</w:t>
      </w:r>
      <w:r w:rsidR="003620D0">
        <w:rPr>
          <w:lang w:val="en-US"/>
        </w:rPr>
        <w:t>4</w:t>
      </w:r>
      <w:r w:rsidR="006B52C4">
        <w:rPr>
          <w:lang w:val="en-US"/>
        </w:rPr>
        <w:t xml:space="preserve">} with guard subbands between </w:t>
      </w:r>
      <w:r w:rsidR="003620D0">
        <w:rPr>
          <w:lang w:val="en-US"/>
        </w:rPr>
        <w:t xml:space="preserve">the </w:t>
      </w:r>
      <w:r w:rsidR="006B52C4">
        <w:rPr>
          <w:lang w:val="en-US"/>
        </w:rPr>
        <w:t>UL &amp; DL subbands.</w:t>
      </w:r>
      <w:r w:rsidR="00B3559A">
        <w:rPr>
          <w:lang w:val="en-US"/>
        </w:rPr>
        <w:t xml:space="preserve">  The power offsets can be different in different UL subbands depending on the configuration of the subbands.  For example, only one side of Subband#1 is adjacent to a DL subband (Subband#2) and so a power offset is only applied to one side of Subband#1, i.e. an offset of -</w:t>
      </w:r>
      <w:r w:rsidR="00B3559A">
        <w:rPr>
          <w:rFonts w:ascii="Symbol" w:eastAsia="Symbol" w:hAnsi="Symbol" w:cs="Symbol"/>
          <w:lang w:val="en-US"/>
        </w:rPr>
        <w:t>D</w:t>
      </w:r>
      <w:r w:rsidR="00B3559A" w:rsidRPr="00B3559A">
        <w:rPr>
          <w:vertAlign w:val="subscript"/>
          <w:lang w:val="en-US"/>
        </w:rPr>
        <w:t>2</w:t>
      </w:r>
      <w:r w:rsidR="00B3559A">
        <w:rPr>
          <w:lang w:val="en-US"/>
        </w:rPr>
        <w:t xml:space="preserve"> for UL transmission between </w:t>
      </w:r>
      <w:r w:rsidR="00B3559A" w:rsidRPr="00B3559A">
        <w:rPr>
          <w:i/>
          <w:iCs/>
          <w:lang w:val="en-US"/>
        </w:rPr>
        <w:t>f</w:t>
      </w:r>
      <w:r w:rsidR="00B3559A" w:rsidRPr="00B3559A">
        <w:rPr>
          <w:vertAlign w:val="subscript"/>
          <w:lang w:val="en-US"/>
        </w:rPr>
        <w:t>2</w:t>
      </w:r>
      <w:r w:rsidR="00B3559A">
        <w:rPr>
          <w:lang w:val="en-US"/>
        </w:rPr>
        <w:t xml:space="preserve"> – </w:t>
      </w:r>
      <w:r w:rsidR="00B3559A" w:rsidRPr="00B3559A">
        <w:rPr>
          <w:i/>
          <w:iCs/>
          <w:lang w:val="en-US"/>
        </w:rPr>
        <w:t>f</w:t>
      </w:r>
      <w:r w:rsidR="00B3559A" w:rsidRPr="00B3559A">
        <w:rPr>
          <w:vertAlign w:val="subscript"/>
          <w:lang w:val="en-US"/>
        </w:rPr>
        <w:t>3</w:t>
      </w:r>
      <w:r w:rsidR="00B3559A">
        <w:rPr>
          <w:lang w:val="en-US"/>
        </w:rPr>
        <w:t xml:space="preserve">.  </w:t>
      </w:r>
      <w:r w:rsidR="007F3D51">
        <w:rPr>
          <w:lang w:val="en-US"/>
        </w:rPr>
        <w:t xml:space="preserve">On the other hand, UL Subband#3 has two power offsets on each </w:t>
      </w:r>
      <w:r w:rsidR="003620D0">
        <w:rPr>
          <w:lang w:val="en-US"/>
        </w:rPr>
        <w:t>side</w:t>
      </w:r>
      <w:r w:rsidR="007F3D51">
        <w:rPr>
          <w:lang w:val="en-US"/>
        </w:rPr>
        <w:t xml:space="preserve"> as they are adjacent to DL subbands {Subband#2, Subband#4}.  The power offset in </w:t>
      </w:r>
      <w:r w:rsidR="007F3D51" w:rsidRPr="007F3D51">
        <w:rPr>
          <w:i/>
          <w:iCs/>
          <w:lang w:val="en-US"/>
        </w:rPr>
        <w:t>f</w:t>
      </w:r>
      <w:r w:rsidR="007F3D51" w:rsidRPr="007F3D51">
        <w:rPr>
          <w:vertAlign w:val="subscript"/>
          <w:lang w:val="en-US"/>
        </w:rPr>
        <w:t>6</w:t>
      </w:r>
      <w:r w:rsidR="007F3D51">
        <w:rPr>
          <w:lang w:val="en-US"/>
        </w:rPr>
        <w:t xml:space="preserve"> – </w:t>
      </w:r>
      <w:r w:rsidR="007F3D51" w:rsidRPr="007F3D51">
        <w:rPr>
          <w:i/>
          <w:iCs/>
          <w:lang w:val="en-US"/>
        </w:rPr>
        <w:t>f</w:t>
      </w:r>
      <w:r w:rsidR="007F3D51" w:rsidRPr="007F3D51">
        <w:rPr>
          <w:vertAlign w:val="subscript"/>
          <w:lang w:val="en-US"/>
        </w:rPr>
        <w:t>7</w:t>
      </w:r>
      <w:r w:rsidR="007F3D51">
        <w:rPr>
          <w:lang w:val="en-US"/>
        </w:rPr>
        <w:t xml:space="preserve"> of Subband#3 is -</w:t>
      </w:r>
      <w:r w:rsidR="007F3D51">
        <w:rPr>
          <w:rFonts w:ascii="Symbol" w:eastAsia="Symbol" w:hAnsi="Symbol" w:cs="Symbol"/>
          <w:lang w:val="en-US"/>
        </w:rPr>
        <w:t>D</w:t>
      </w:r>
      <w:r w:rsidR="007F3D51">
        <w:rPr>
          <w:vertAlign w:val="subscript"/>
          <w:lang w:val="en-US"/>
        </w:rPr>
        <w:t>3</w:t>
      </w:r>
      <w:r w:rsidR="007F3D51">
        <w:rPr>
          <w:lang w:val="en-US"/>
        </w:rPr>
        <w:t>, which is smaller than the power offset -</w:t>
      </w:r>
      <w:r w:rsidR="007F3D51">
        <w:rPr>
          <w:rFonts w:ascii="Symbol" w:eastAsia="Symbol" w:hAnsi="Symbol" w:cs="Symbol"/>
          <w:lang w:val="en-US"/>
        </w:rPr>
        <w:t>D</w:t>
      </w:r>
      <w:r w:rsidR="007F3D51">
        <w:rPr>
          <w:vertAlign w:val="subscript"/>
          <w:lang w:val="en-US"/>
        </w:rPr>
        <w:t>1</w:t>
      </w:r>
      <w:r w:rsidR="007F3D51">
        <w:rPr>
          <w:lang w:val="en-US"/>
        </w:rPr>
        <w:t xml:space="preserve"> in </w:t>
      </w:r>
      <w:r w:rsidR="007F3D51" w:rsidRPr="007F3D51">
        <w:rPr>
          <w:i/>
          <w:iCs/>
          <w:lang w:val="en-US"/>
        </w:rPr>
        <w:t>f</w:t>
      </w:r>
      <w:r w:rsidR="007F3D51" w:rsidRPr="007F3D51">
        <w:rPr>
          <w:vertAlign w:val="subscript"/>
          <w:lang w:val="en-US"/>
        </w:rPr>
        <w:t>8</w:t>
      </w:r>
      <w:r w:rsidR="007F3D51">
        <w:rPr>
          <w:lang w:val="en-US"/>
        </w:rPr>
        <w:t xml:space="preserve"> – </w:t>
      </w:r>
      <w:r w:rsidR="007F3D51" w:rsidRPr="007F3D51">
        <w:rPr>
          <w:i/>
          <w:iCs/>
          <w:lang w:val="en-US"/>
        </w:rPr>
        <w:t>f</w:t>
      </w:r>
      <w:r w:rsidR="007F3D51" w:rsidRPr="007F3D51">
        <w:rPr>
          <w:vertAlign w:val="subscript"/>
          <w:lang w:val="en-US"/>
        </w:rPr>
        <w:t>9</w:t>
      </w:r>
      <w:r w:rsidR="007F3D51">
        <w:rPr>
          <w:lang w:val="en-US"/>
        </w:rPr>
        <w:t xml:space="preserve">, since the guard subband </w:t>
      </w:r>
      <w:r w:rsidR="007F3D51" w:rsidRPr="007F3D51">
        <w:rPr>
          <w:i/>
          <w:iCs/>
          <w:lang w:val="en-US"/>
        </w:rPr>
        <w:t>f</w:t>
      </w:r>
      <w:r w:rsidR="007F3D51" w:rsidRPr="007F3D51">
        <w:rPr>
          <w:vertAlign w:val="subscript"/>
          <w:lang w:val="en-US"/>
        </w:rPr>
        <w:t>5</w:t>
      </w:r>
      <w:r w:rsidR="007F3D51">
        <w:rPr>
          <w:lang w:val="en-US"/>
        </w:rPr>
        <w:t xml:space="preserve"> – </w:t>
      </w:r>
      <w:r w:rsidR="007F3D51" w:rsidRPr="007F3D51">
        <w:rPr>
          <w:i/>
          <w:iCs/>
          <w:lang w:val="en-US"/>
        </w:rPr>
        <w:t>f</w:t>
      </w:r>
      <w:r w:rsidR="007F3D51" w:rsidRPr="007F3D51">
        <w:rPr>
          <w:vertAlign w:val="subscript"/>
          <w:lang w:val="en-US"/>
        </w:rPr>
        <w:t>6</w:t>
      </w:r>
      <w:r w:rsidR="007F3D51">
        <w:rPr>
          <w:lang w:val="en-US"/>
        </w:rPr>
        <w:t xml:space="preserve"> between DL Subband#2 and UL Subband#3 is wider than the guard subband </w:t>
      </w:r>
      <w:r w:rsidR="007F3D51" w:rsidRPr="00D6095D">
        <w:rPr>
          <w:i/>
          <w:iCs/>
          <w:lang w:val="en-US"/>
        </w:rPr>
        <w:t>f</w:t>
      </w:r>
      <w:r w:rsidR="007F3D51" w:rsidRPr="00D6095D">
        <w:rPr>
          <w:vertAlign w:val="subscript"/>
          <w:lang w:val="en-US"/>
        </w:rPr>
        <w:t>9</w:t>
      </w:r>
      <w:r w:rsidR="007F3D51">
        <w:rPr>
          <w:lang w:val="en-US"/>
        </w:rPr>
        <w:t xml:space="preserve"> – </w:t>
      </w:r>
      <w:r w:rsidR="007F3D51" w:rsidRPr="00D6095D">
        <w:rPr>
          <w:i/>
          <w:iCs/>
          <w:lang w:val="en-US"/>
        </w:rPr>
        <w:t>f</w:t>
      </w:r>
      <w:r w:rsidR="007F3D51" w:rsidRPr="00D6095D">
        <w:rPr>
          <w:vertAlign w:val="subscript"/>
          <w:lang w:val="en-US"/>
        </w:rPr>
        <w:t>10</w:t>
      </w:r>
      <w:r w:rsidR="007F3D51">
        <w:rPr>
          <w:lang w:val="en-US"/>
        </w:rPr>
        <w:t xml:space="preserve"> between UL Subband#3 and DL Subband#4.</w:t>
      </w:r>
      <w:r w:rsidR="00F94834">
        <w:rPr>
          <w:lang w:val="en-US"/>
        </w:rPr>
        <w:t xml:space="preserve">  An UL transmission that occupies RBs that have different power offset would be transmitted with non-uniform power, that is, the RBs in the UL transmission may be transmitted with different transmit power. For the example in </w:t>
      </w:r>
      <w:r w:rsidR="00F94834">
        <w:rPr>
          <w:lang w:val="en-US"/>
        </w:rPr>
        <w:fldChar w:fldCharType="begin"/>
      </w:r>
      <w:r w:rsidR="00F94834">
        <w:rPr>
          <w:lang w:val="en-US"/>
        </w:rPr>
        <w:instrText xml:space="preserve"> REF _Ref101529080 \h </w:instrText>
      </w:r>
      <w:r w:rsidR="00F94834">
        <w:rPr>
          <w:lang w:val="en-US"/>
        </w:rPr>
      </w:r>
      <w:r w:rsidR="00F94834">
        <w:rPr>
          <w:lang w:val="en-US"/>
        </w:rPr>
        <w:fldChar w:fldCharType="separate"/>
      </w:r>
      <w:r w:rsidR="00F94834">
        <w:t xml:space="preserve">Figure </w:t>
      </w:r>
      <w:r w:rsidR="00F94834">
        <w:rPr>
          <w:noProof/>
        </w:rPr>
        <w:t>6</w:t>
      </w:r>
      <w:r w:rsidR="00F94834">
        <w:rPr>
          <w:lang w:val="en-US"/>
        </w:rPr>
        <w:fldChar w:fldCharType="end"/>
      </w:r>
      <w:r w:rsidR="00F94834">
        <w:rPr>
          <w:lang w:val="en-US"/>
        </w:rPr>
        <w:t xml:space="preserve">, if a PUSCH in UL Subband#1 is scheduled in RBs occupying </w:t>
      </w:r>
      <w:r w:rsidR="00F94834" w:rsidRPr="00F94834">
        <w:rPr>
          <w:i/>
          <w:iCs/>
          <w:lang w:val="en-US"/>
        </w:rPr>
        <w:t>f</w:t>
      </w:r>
      <w:r w:rsidR="00F94834" w:rsidRPr="00F94834">
        <w:rPr>
          <w:vertAlign w:val="subscript"/>
          <w:lang w:val="en-US"/>
        </w:rPr>
        <w:t>1</w:t>
      </w:r>
      <w:r w:rsidR="00F94834">
        <w:rPr>
          <w:lang w:val="en-US"/>
        </w:rPr>
        <w:t xml:space="preserve"> to </w:t>
      </w:r>
      <w:r w:rsidR="00F94834" w:rsidRPr="00F94834">
        <w:rPr>
          <w:i/>
          <w:iCs/>
          <w:lang w:val="en-US"/>
        </w:rPr>
        <w:t>f</w:t>
      </w:r>
      <w:r w:rsidR="00F94834" w:rsidRPr="00F94834">
        <w:rPr>
          <w:vertAlign w:val="subscript"/>
          <w:lang w:val="en-US"/>
        </w:rPr>
        <w:t>3</w:t>
      </w:r>
      <w:r w:rsidR="00F94834">
        <w:rPr>
          <w:lang w:val="en-US"/>
        </w:rPr>
        <w:t xml:space="preserve">, its transmit power for RBs between </w:t>
      </w:r>
      <w:r w:rsidR="00F94834" w:rsidRPr="00F94834">
        <w:rPr>
          <w:i/>
          <w:iCs/>
          <w:lang w:val="en-US"/>
        </w:rPr>
        <w:t>f</w:t>
      </w:r>
      <w:r w:rsidR="00F94834" w:rsidRPr="00F94834">
        <w:rPr>
          <w:vertAlign w:val="subscript"/>
          <w:lang w:val="en-US"/>
        </w:rPr>
        <w:t>2</w:t>
      </w:r>
      <w:r w:rsidR="00F94834">
        <w:rPr>
          <w:lang w:val="en-US"/>
        </w:rPr>
        <w:t xml:space="preserve"> – </w:t>
      </w:r>
      <w:r w:rsidR="00F94834" w:rsidRPr="00F94834">
        <w:rPr>
          <w:i/>
          <w:iCs/>
          <w:lang w:val="en-US"/>
        </w:rPr>
        <w:t>f</w:t>
      </w:r>
      <w:r w:rsidR="00F94834" w:rsidRPr="00F94834">
        <w:rPr>
          <w:vertAlign w:val="subscript"/>
          <w:lang w:val="en-US"/>
        </w:rPr>
        <w:t>3</w:t>
      </w:r>
      <w:r w:rsidR="00F94834">
        <w:rPr>
          <w:lang w:val="en-US"/>
        </w:rPr>
        <w:t xml:space="preserve"> is reduced by -</w:t>
      </w:r>
      <w:r w:rsidR="00F94834">
        <w:rPr>
          <w:rFonts w:ascii="Symbol" w:eastAsia="Symbol" w:hAnsi="Symbol" w:cs="Symbol"/>
          <w:lang w:val="en-US"/>
        </w:rPr>
        <w:t>D</w:t>
      </w:r>
      <w:r w:rsidR="00F94834" w:rsidRPr="00B3559A">
        <w:rPr>
          <w:vertAlign w:val="subscript"/>
          <w:lang w:val="en-US"/>
        </w:rPr>
        <w:t>2</w:t>
      </w:r>
      <w:r w:rsidR="00F94834">
        <w:rPr>
          <w:lang w:val="en-US"/>
        </w:rPr>
        <w:t xml:space="preserve"> whilst, the RBs between </w:t>
      </w:r>
      <w:r w:rsidR="00F94834" w:rsidRPr="00F94834">
        <w:rPr>
          <w:i/>
          <w:iCs/>
          <w:lang w:val="en-US"/>
        </w:rPr>
        <w:t>f</w:t>
      </w:r>
      <w:r w:rsidR="00F94834" w:rsidRPr="00F94834">
        <w:rPr>
          <w:vertAlign w:val="subscript"/>
          <w:lang w:val="en-US"/>
        </w:rPr>
        <w:t>1</w:t>
      </w:r>
      <w:r w:rsidR="00F94834">
        <w:rPr>
          <w:lang w:val="en-US"/>
        </w:rPr>
        <w:t xml:space="preserve"> – </w:t>
      </w:r>
      <w:r w:rsidR="00F94834" w:rsidRPr="00F94834">
        <w:rPr>
          <w:i/>
          <w:iCs/>
          <w:lang w:val="en-US"/>
        </w:rPr>
        <w:t>f</w:t>
      </w:r>
      <w:r w:rsidR="00F94834" w:rsidRPr="00F94834">
        <w:rPr>
          <w:vertAlign w:val="subscript"/>
          <w:lang w:val="en-US"/>
        </w:rPr>
        <w:t>2</w:t>
      </w:r>
      <w:r w:rsidR="00F94834">
        <w:rPr>
          <w:lang w:val="en-US"/>
        </w:rPr>
        <w:t xml:space="preserve"> is not reduced..  The gNB can indicate, e.g. in the UL Grant or DL Grant, whether to use non-uniform transmit power or not since there may not be any DL traffic in an adjacent DL subband.</w:t>
      </w:r>
    </w:p>
    <w:p w14:paraId="643A03C6" w14:textId="67781727" w:rsidR="00F47E08" w:rsidRDefault="00F47E08" w:rsidP="00A06D0D">
      <w:pPr>
        <w:spacing w:after="0"/>
        <w:rPr>
          <w:lang w:val="en-US"/>
        </w:rPr>
      </w:pPr>
    </w:p>
    <w:p w14:paraId="118ADFB0" w14:textId="75CC0889" w:rsidR="00F47E08" w:rsidRDefault="00B3559A" w:rsidP="00F47E08">
      <w:pPr>
        <w:keepNext/>
        <w:spacing w:after="0"/>
        <w:jc w:val="center"/>
      </w:pPr>
      <w:r>
        <w:rPr>
          <w:noProof/>
        </w:rPr>
        <w:drawing>
          <wp:inline distT="0" distB="0" distL="0" distR="0" wp14:anchorId="0723CD08" wp14:editId="52D2A335">
            <wp:extent cx="5949950" cy="22009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9950" cy="2200910"/>
                    </a:xfrm>
                    <a:prstGeom prst="rect">
                      <a:avLst/>
                    </a:prstGeom>
                    <a:noFill/>
                  </pic:spPr>
                </pic:pic>
              </a:graphicData>
            </a:graphic>
          </wp:inline>
        </w:drawing>
      </w:r>
    </w:p>
    <w:p w14:paraId="051D15A1" w14:textId="2CCC80D4" w:rsidR="00F47E08" w:rsidRDefault="00F47E08" w:rsidP="00F47E08">
      <w:pPr>
        <w:pStyle w:val="Caption"/>
        <w:jc w:val="center"/>
        <w:rPr>
          <w:lang w:val="en-US"/>
        </w:rPr>
      </w:pPr>
      <w:bookmarkStart w:id="7" w:name="_Ref101529080"/>
      <w:r>
        <w:t xml:space="preserve">Figure </w:t>
      </w:r>
      <w:fldSimple w:instr=" SEQ Figure \* ARABIC ">
        <w:r>
          <w:rPr>
            <w:noProof/>
          </w:rPr>
          <w:t>6</w:t>
        </w:r>
      </w:fldSimple>
      <w:bookmarkEnd w:id="7"/>
      <w:r>
        <w:t>: Power offset</w:t>
      </w:r>
      <w:r w:rsidR="00B3559A">
        <w:t>s</w:t>
      </w:r>
      <w:r>
        <w:t xml:space="preserve"> in UL subbands</w:t>
      </w:r>
    </w:p>
    <w:p w14:paraId="145DCEE0" w14:textId="77777777" w:rsidR="00F47E08" w:rsidRDefault="00F47E08" w:rsidP="00A06D0D">
      <w:pPr>
        <w:spacing w:after="0"/>
        <w:rPr>
          <w:lang w:val="en-US"/>
        </w:rPr>
      </w:pPr>
    </w:p>
    <w:p w14:paraId="19229DA4" w14:textId="059C9C20" w:rsidR="00F94834" w:rsidRPr="009377A0" w:rsidRDefault="00F94834" w:rsidP="00A06D0D">
      <w:pPr>
        <w:spacing w:after="0"/>
        <w:rPr>
          <w:b/>
          <w:bCs/>
          <w:lang w:val="en-US"/>
        </w:rPr>
      </w:pPr>
      <w:r w:rsidRPr="009377A0">
        <w:rPr>
          <w:b/>
          <w:bCs/>
          <w:lang w:val="en-US"/>
        </w:rPr>
        <w:t>Observation 3: ACI in</w:t>
      </w:r>
      <w:r w:rsidR="003620D0">
        <w:rPr>
          <w:b/>
          <w:bCs/>
          <w:lang w:val="en-US"/>
        </w:rPr>
        <w:t>to</w:t>
      </w:r>
      <w:r w:rsidRPr="009377A0">
        <w:rPr>
          <w:b/>
          <w:bCs/>
          <w:lang w:val="en-US"/>
        </w:rPr>
        <w:t xml:space="preserve"> a DL subband can be reduced if the UL transmit power in an adjacent UL subband is reduced, for RBs that are close to the edge of that UL subband.</w:t>
      </w:r>
    </w:p>
    <w:p w14:paraId="18B98078" w14:textId="77777777" w:rsidR="00F94834" w:rsidRPr="009377A0" w:rsidRDefault="00F94834" w:rsidP="00A06D0D">
      <w:pPr>
        <w:spacing w:after="0"/>
        <w:rPr>
          <w:b/>
          <w:bCs/>
          <w:lang w:val="en-US"/>
        </w:rPr>
      </w:pPr>
    </w:p>
    <w:p w14:paraId="0EFB0243" w14:textId="5635C43C" w:rsidR="00F47E08" w:rsidRPr="009377A0" w:rsidRDefault="00F94834" w:rsidP="00A06D0D">
      <w:pPr>
        <w:spacing w:after="0"/>
        <w:rPr>
          <w:b/>
          <w:bCs/>
          <w:lang w:val="en-US"/>
        </w:rPr>
      </w:pPr>
      <w:r w:rsidRPr="009377A0">
        <w:rPr>
          <w:b/>
          <w:bCs/>
          <w:lang w:val="en-US"/>
        </w:rPr>
        <w:t xml:space="preserve">Proposal 6: Support non-uniform transmit power in an UL transmission, where </w:t>
      </w:r>
      <w:r w:rsidR="009377A0" w:rsidRPr="009377A0">
        <w:rPr>
          <w:b/>
          <w:bCs/>
          <w:lang w:val="en-US"/>
        </w:rPr>
        <w:t xml:space="preserve">different power offsets can be applied to </w:t>
      </w:r>
      <w:r w:rsidRPr="009377A0">
        <w:rPr>
          <w:b/>
          <w:bCs/>
          <w:lang w:val="en-US"/>
        </w:rPr>
        <w:t xml:space="preserve">different RBs </w:t>
      </w:r>
      <w:r w:rsidR="009377A0" w:rsidRPr="009377A0">
        <w:rPr>
          <w:b/>
          <w:bCs/>
          <w:lang w:val="en-US"/>
        </w:rPr>
        <w:t>of the UL transmission.</w:t>
      </w:r>
    </w:p>
    <w:p w14:paraId="479028D3" w14:textId="160A0101" w:rsidR="00D2698E" w:rsidRPr="009377A0" w:rsidRDefault="00D2698E" w:rsidP="00A06D0D">
      <w:pPr>
        <w:spacing w:after="0"/>
        <w:rPr>
          <w:b/>
          <w:bCs/>
          <w:lang w:val="en-US"/>
        </w:rPr>
      </w:pPr>
    </w:p>
    <w:p w14:paraId="553F345A" w14:textId="4E1863BC" w:rsidR="004D344D" w:rsidRPr="009377A0" w:rsidRDefault="009377A0" w:rsidP="00675401">
      <w:pPr>
        <w:spacing w:after="0"/>
        <w:rPr>
          <w:b/>
          <w:bCs/>
          <w:lang w:val="en-US"/>
        </w:rPr>
      </w:pPr>
      <w:r w:rsidRPr="009377A0">
        <w:rPr>
          <w:b/>
          <w:bCs/>
          <w:lang w:val="en-US"/>
        </w:rPr>
        <w:t>Proposal 7: The gNB can enable/disable non-uniform transmit power for an UL transmission.</w:t>
      </w:r>
    </w:p>
    <w:p w14:paraId="18B70767" w14:textId="77777777" w:rsidR="009377A0" w:rsidRDefault="009377A0" w:rsidP="00675401">
      <w:pPr>
        <w:spacing w:after="0"/>
        <w:rPr>
          <w:lang w:val="en-US"/>
        </w:rPr>
      </w:pPr>
    </w:p>
    <w:p w14:paraId="4F08B0F4" w14:textId="77777777" w:rsidR="009377A0" w:rsidRDefault="009377A0"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72C176A2" w:rsidR="007F64B2" w:rsidRPr="00E4465A" w:rsidRDefault="00855F39" w:rsidP="002173CA">
      <w:pPr>
        <w:rPr>
          <w:b/>
          <w:bCs/>
          <w:lang w:val="en-US"/>
        </w:rPr>
      </w:pPr>
      <w:r>
        <w:t>In this contribution</w:t>
      </w:r>
      <w:r w:rsidR="00BD2B36">
        <w:t>,</w:t>
      </w:r>
      <w:r>
        <w:t xml:space="preserve"> we discuss </w:t>
      </w:r>
      <w:r w:rsidR="00EA2359">
        <w:t xml:space="preserve">some </w:t>
      </w:r>
      <w:r w:rsidR="00B84356">
        <w:t xml:space="preserve">considerations on </w:t>
      </w:r>
      <w:r w:rsidR="003620D0">
        <w:t xml:space="preserve">non-overlapping subband in </w:t>
      </w:r>
      <w:r w:rsidR="00B84356">
        <w:t>FD-TDD</w:t>
      </w:r>
      <w:r w:rsidR="000F7D30">
        <w:t>,</w:t>
      </w:r>
      <w:r w:rsidR="000F34C5">
        <w:t xml:space="preserve"> and we observe the following:</w:t>
      </w:r>
    </w:p>
    <w:p w14:paraId="09E5D584" w14:textId="77777777" w:rsidR="00ED08E5" w:rsidRPr="00255B00" w:rsidRDefault="00ED08E5" w:rsidP="00ED08E5">
      <w:pPr>
        <w:spacing w:after="0"/>
        <w:rPr>
          <w:b/>
          <w:bCs/>
          <w:lang w:val="en-US"/>
        </w:rPr>
      </w:pPr>
      <w:r w:rsidRPr="00255B00">
        <w:rPr>
          <w:b/>
          <w:bCs/>
          <w:lang w:val="en-US"/>
        </w:rPr>
        <w:t>Observation 1: Adjacent Channel Interference (ACI) is the main cause of intra-cell Cross Link Interference in FD-TDD using non-overlapping subbands.</w:t>
      </w:r>
    </w:p>
    <w:p w14:paraId="349DD43F" w14:textId="513CD802" w:rsidR="003620D0" w:rsidRDefault="003620D0" w:rsidP="000F7D30">
      <w:pPr>
        <w:jc w:val="both"/>
        <w:rPr>
          <w:b/>
          <w:bCs/>
          <w:lang w:val="en-US"/>
        </w:rPr>
      </w:pPr>
    </w:p>
    <w:p w14:paraId="7D62E3BA" w14:textId="77777777" w:rsidR="00ED08E5" w:rsidRPr="00F023EF" w:rsidRDefault="00ED08E5" w:rsidP="00ED08E5">
      <w:pPr>
        <w:spacing w:after="0"/>
        <w:rPr>
          <w:b/>
          <w:bCs/>
          <w:lang w:val="en-US"/>
        </w:rPr>
      </w:pPr>
      <w:r w:rsidRPr="00F023EF">
        <w:rPr>
          <w:b/>
          <w:bCs/>
          <w:lang w:val="en-US"/>
        </w:rPr>
        <w:t>Observation 2: Since the ACI level is non-uniform across a DL subband, a PDSCH occupying RBs with different levels of ACI may underutilize the frequency resources.</w:t>
      </w:r>
    </w:p>
    <w:p w14:paraId="55C7635C" w14:textId="77777777" w:rsidR="00ED08E5" w:rsidRDefault="00ED08E5" w:rsidP="00ED08E5">
      <w:pPr>
        <w:spacing w:after="0"/>
        <w:rPr>
          <w:lang w:val="en-US"/>
        </w:rPr>
      </w:pPr>
    </w:p>
    <w:p w14:paraId="2469A96D" w14:textId="77777777" w:rsidR="00ED08E5" w:rsidRPr="009377A0" w:rsidRDefault="00ED08E5" w:rsidP="00ED08E5">
      <w:pPr>
        <w:spacing w:after="0"/>
        <w:rPr>
          <w:b/>
          <w:bCs/>
          <w:lang w:val="en-US"/>
        </w:rPr>
      </w:pPr>
      <w:r w:rsidRPr="009377A0">
        <w:rPr>
          <w:b/>
          <w:bCs/>
          <w:lang w:val="en-US"/>
        </w:rPr>
        <w:t>Observation 3: ACI in</w:t>
      </w:r>
      <w:r>
        <w:rPr>
          <w:b/>
          <w:bCs/>
          <w:lang w:val="en-US"/>
        </w:rPr>
        <w:t>to</w:t>
      </w:r>
      <w:r w:rsidRPr="009377A0">
        <w:rPr>
          <w:b/>
          <w:bCs/>
          <w:lang w:val="en-US"/>
        </w:rPr>
        <w:t xml:space="preserve"> a DL subband can be reduced if the UL transmit power in an adjacent UL subband is reduced, for RBs that are close to the edge of that UL subband.</w:t>
      </w:r>
    </w:p>
    <w:p w14:paraId="0495768B" w14:textId="77777777" w:rsidR="00ED08E5" w:rsidRPr="009377A0" w:rsidRDefault="00ED08E5" w:rsidP="00ED08E5">
      <w:pPr>
        <w:spacing w:after="0"/>
        <w:rPr>
          <w:b/>
          <w:bCs/>
          <w:lang w:val="en-US"/>
        </w:rPr>
      </w:pPr>
    </w:p>
    <w:p w14:paraId="10C33F4D" w14:textId="77777777" w:rsidR="00F15D69" w:rsidRPr="00636ABB" w:rsidRDefault="00F15D69" w:rsidP="000F7D30">
      <w:pPr>
        <w:jc w:val="both"/>
        <w:rPr>
          <w:b/>
          <w:bCs/>
          <w:lang w:val="en-US"/>
        </w:rPr>
      </w:pPr>
    </w:p>
    <w:p w14:paraId="4A41F8AA" w14:textId="10037476" w:rsidR="002173CA" w:rsidRPr="002173CA" w:rsidRDefault="002173CA" w:rsidP="002173CA">
      <w:pPr>
        <w:rPr>
          <w:lang w:val="en-US"/>
        </w:rPr>
      </w:pPr>
      <w:r w:rsidRPr="002173CA">
        <w:rPr>
          <w:lang w:val="en-US"/>
        </w:rPr>
        <w:t>We therefore propose the following:</w:t>
      </w:r>
    </w:p>
    <w:p w14:paraId="6DADBE6F" w14:textId="77777777" w:rsidR="00ED08E5" w:rsidRPr="00520454" w:rsidRDefault="00ED08E5" w:rsidP="00ED08E5">
      <w:pPr>
        <w:spacing w:after="0"/>
        <w:rPr>
          <w:b/>
          <w:bCs/>
          <w:lang w:val="en-US"/>
        </w:rPr>
      </w:pPr>
      <w:r w:rsidRPr="00520454">
        <w:rPr>
          <w:b/>
          <w:bCs/>
          <w:lang w:val="en-US"/>
        </w:rPr>
        <w:t xml:space="preserve">Proposal 1: In </w:t>
      </w:r>
      <w:r>
        <w:rPr>
          <w:b/>
          <w:bCs/>
          <w:lang w:val="en-US"/>
        </w:rPr>
        <w:t>FD-TDD</w:t>
      </w:r>
      <w:r w:rsidRPr="00520454">
        <w:rPr>
          <w:b/>
          <w:bCs/>
          <w:lang w:val="en-US"/>
        </w:rPr>
        <w:t xml:space="preserve"> operation, the DL and UL transmissions are performed in separate non-overlapping frequency subbands with a guard subband between two adjacent subbands.</w:t>
      </w:r>
    </w:p>
    <w:p w14:paraId="756D211E" w14:textId="3D6FA109" w:rsidR="003620D0" w:rsidRDefault="003620D0" w:rsidP="003620D0">
      <w:pPr>
        <w:spacing w:after="0"/>
        <w:rPr>
          <w:lang w:val="en-US"/>
        </w:rPr>
      </w:pPr>
    </w:p>
    <w:p w14:paraId="0EF71848" w14:textId="77777777" w:rsidR="00ED08E5" w:rsidRPr="00953DBE" w:rsidRDefault="00ED08E5" w:rsidP="00ED08E5">
      <w:pPr>
        <w:spacing w:after="0"/>
        <w:rPr>
          <w:b/>
          <w:bCs/>
          <w:lang w:val="en-US"/>
        </w:rPr>
      </w:pPr>
      <w:r w:rsidRPr="00953DBE">
        <w:rPr>
          <w:b/>
          <w:bCs/>
          <w:lang w:val="en-US"/>
        </w:rPr>
        <w:t>Proposal 2:  To manage intra-cell CLI, a DL subband is divided in the frequency domain into ACI blocks, where a UE performs SRS interference measurements on these ACI blocks whilst another UE is transmitting SRS in an UL subband.</w:t>
      </w:r>
    </w:p>
    <w:p w14:paraId="386B4D4F" w14:textId="77777777" w:rsidR="00ED08E5" w:rsidRPr="00953DBE" w:rsidRDefault="00ED08E5" w:rsidP="00ED08E5">
      <w:pPr>
        <w:spacing w:after="0"/>
        <w:rPr>
          <w:b/>
          <w:bCs/>
          <w:lang w:val="en-US"/>
        </w:rPr>
      </w:pPr>
    </w:p>
    <w:p w14:paraId="0781B0A9" w14:textId="77777777" w:rsidR="00ED08E5" w:rsidRPr="00953DBE" w:rsidRDefault="00ED08E5" w:rsidP="00ED08E5">
      <w:pPr>
        <w:spacing w:after="0"/>
        <w:rPr>
          <w:b/>
          <w:bCs/>
          <w:lang w:val="en-US"/>
        </w:rPr>
      </w:pPr>
      <w:r w:rsidRPr="00953DBE">
        <w:rPr>
          <w:b/>
          <w:bCs/>
          <w:lang w:val="en-US"/>
        </w:rPr>
        <w:t>Proposal 3: The SRS interference measurement in an ACI block can be measured as the SNR</w:t>
      </w:r>
      <w:r>
        <w:rPr>
          <w:b/>
          <w:bCs/>
          <w:lang w:val="en-US"/>
        </w:rPr>
        <w:t xml:space="preserve"> (or INR)</w:t>
      </w:r>
      <w:r w:rsidRPr="00953DBE">
        <w:rPr>
          <w:b/>
          <w:bCs/>
          <w:lang w:val="en-US"/>
        </w:rPr>
        <w:t xml:space="preserve"> of the SRS.</w:t>
      </w:r>
    </w:p>
    <w:p w14:paraId="1562F886" w14:textId="77777777" w:rsidR="00ED08E5" w:rsidRPr="00953DBE" w:rsidRDefault="00ED08E5" w:rsidP="00ED08E5">
      <w:pPr>
        <w:spacing w:after="0"/>
        <w:rPr>
          <w:b/>
          <w:bCs/>
          <w:lang w:val="en-US"/>
        </w:rPr>
      </w:pPr>
    </w:p>
    <w:p w14:paraId="10E4D7D7" w14:textId="77777777" w:rsidR="00ED08E5" w:rsidRPr="00953DBE" w:rsidRDefault="00ED08E5" w:rsidP="00ED08E5">
      <w:pPr>
        <w:spacing w:after="0"/>
        <w:rPr>
          <w:b/>
          <w:bCs/>
          <w:lang w:val="en-US"/>
        </w:rPr>
      </w:pPr>
      <w:r w:rsidRPr="00953DBE">
        <w:rPr>
          <w:b/>
          <w:bCs/>
          <w:lang w:val="en-US"/>
        </w:rPr>
        <w:t>Proposal 4: The ACI block measurements are reported in the Physical Layer.</w:t>
      </w:r>
    </w:p>
    <w:p w14:paraId="36391E8F" w14:textId="77777777" w:rsidR="00ED08E5" w:rsidRDefault="00ED08E5" w:rsidP="00ED08E5">
      <w:pPr>
        <w:spacing w:after="0"/>
        <w:rPr>
          <w:lang w:val="en-US"/>
        </w:rPr>
      </w:pPr>
    </w:p>
    <w:p w14:paraId="7AA20564" w14:textId="77777777" w:rsidR="00ED08E5" w:rsidRPr="0094448C" w:rsidRDefault="00ED08E5" w:rsidP="00ED08E5">
      <w:pPr>
        <w:spacing w:after="0"/>
        <w:rPr>
          <w:b/>
          <w:bCs/>
          <w:lang w:val="en-US"/>
        </w:rPr>
      </w:pPr>
      <w:r w:rsidRPr="0094448C">
        <w:rPr>
          <w:b/>
          <w:bCs/>
          <w:lang w:val="en-US"/>
        </w:rPr>
        <w:t xml:space="preserve">Proposal 5: Support </w:t>
      </w:r>
      <w:r>
        <w:rPr>
          <w:b/>
          <w:bCs/>
          <w:lang w:val="en-US"/>
        </w:rPr>
        <w:t xml:space="preserve">non-uniform MCS, where </w:t>
      </w:r>
      <w:r w:rsidRPr="0094448C">
        <w:rPr>
          <w:b/>
          <w:bCs/>
          <w:lang w:val="en-US"/>
        </w:rPr>
        <w:t xml:space="preserve">more than one MCS </w:t>
      </w:r>
      <w:r>
        <w:rPr>
          <w:b/>
          <w:bCs/>
          <w:lang w:val="en-US"/>
        </w:rPr>
        <w:t xml:space="preserve">can be used </w:t>
      </w:r>
      <w:r w:rsidRPr="0094448C">
        <w:rPr>
          <w:b/>
          <w:bCs/>
          <w:lang w:val="en-US"/>
        </w:rPr>
        <w:t>in a PDSCH such that different set</w:t>
      </w:r>
      <w:r>
        <w:rPr>
          <w:b/>
          <w:bCs/>
          <w:lang w:val="en-US"/>
        </w:rPr>
        <w:t>s</w:t>
      </w:r>
      <w:r w:rsidRPr="0094448C">
        <w:rPr>
          <w:b/>
          <w:bCs/>
          <w:lang w:val="en-US"/>
        </w:rPr>
        <w:t xml:space="preserve"> of RBs within the PDSCH can have different MCS.</w:t>
      </w:r>
    </w:p>
    <w:p w14:paraId="34B5D76C" w14:textId="77777777" w:rsidR="00ED08E5" w:rsidRDefault="00ED08E5" w:rsidP="00ED08E5">
      <w:pPr>
        <w:spacing w:after="0"/>
        <w:rPr>
          <w:lang w:val="en-US"/>
        </w:rPr>
      </w:pPr>
    </w:p>
    <w:p w14:paraId="426672EE" w14:textId="77777777" w:rsidR="00ED08E5" w:rsidRPr="009377A0" w:rsidRDefault="00ED08E5" w:rsidP="00ED08E5">
      <w:pPr>
        <w:spacing w:after="0"/>
        <w:rPr>
          <w:b/>
          <w:bCs/>
          <w:lang w:val="en-US"/>
        </w:rPr>
      </w:pPr>
      <w:r w:rsidRPr="009377A0">
        <w:rPr>
          <w:b/>
          <w:bCs/>
          <w:lang w:val="en-US"/>
        </w:rPr>
        <w:t>Proposal 6: Support non-uniform transmit power in an UL transmission, where different power offsets can be applied to different RBs of the UL transmission.</w:t>
      </w:r>
    </w:p>
    <w:p w14:paraId="6F53F1E5" w14:textId="77777777" w:rsidR="00ED08E5" w:rsidRPr="009377A0" w:rsidRDefault="00ED08E5" w:rsidP="00ED08E5">
      <w:pPr>
        <w:spacing w:after="0"/>
        <w:rPr>
          <w:b/>
          <w:bCs/>
          <w:lang w:val="en-US"/>
        </w:rPr>
      </w:pPr>
    </w:p>
    <w:p w14:paraId="0273CB71" w14:textId="77777777" w:rsidR="00ED08E5" w:rsidRPr="009377A0" w:rsidRDefault="00ED08E5" w:rsidP="00ED08E5">
      <w:pPr>
        <w:spacing w:after="0"/>
        <w:rPr>
          <w:b/>
          <w:bCs/>
          <w:lang w:val="en-US"/>
        </w:rPr>
      </w:pPr>
      <w:r w:rsidRPr="009377A0">
        <w:rPr>
          <w:b/>
          <w:bCs/>
          <w:lang w:val="en-US"/>
        </w:rPr>
        <w:t>Proposal 7: The gNB can enable/disable non-uniform transmit power for an UL transmission.</w:t>
      </w:r>
    </w:p>
    <w:p w14:paraId="7E81A1B8" w14:textId="77777777" w:rsidR="00ED08E5" w:rsidRDefault="00ED08E5" w:rsidP="003620D0">
      <w:pPr>
        <w:spacing w:after="0"/>
        <w:rPr>
          <w:lang w:val="en-US"/>
        </w:rPr>
      </w:pPr>
    </w:p>
    <w:p w14:paraId="5E12E06D" w14:textId="77777777" w:rsidR="003620D0" w:rsidRPr="007822BE" w:rsidRDefault="003620D0" w:rsidP="005059D6">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C3CB9A2" w14:textId="3A99292E" w:rsidR="00E67A49" w:rsidRDefault="009B478E" w:rsidP="00D55D91">
      <w:r>
        <w:t xml:space="preserve">[1] </w:t>
      </w:r>
      <w:r w:rsidR="009C1C66" w:rsidRPr="009C1C66">
        <w:t>RP-220633</w:t>
      </w:r>
      <w:r w:rsidR="009C1C66">
        <w:t>, “</w:t>
      </w:r>
      <w:r w:rsidR="009C1C66" w:rsidRPr="009C1C66">
        <w:t>Revised SID: Study on evolution of NR duplex operation</w:t>
      </w:r>
      <w:r w:rsidR="009C1C66">
        <w:t>,” CMCC, RAN#95-e</w:t>
      </w:r>
    </w:p>
    <w:sectPr w:rsidR="00E67A4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BAF59" w14:textId="77777777" w:rsidR="00FD528A" w:rsidRDefault="00FD528A">
      <w:r>
        <w:separator/>
      </w:r>
    </w:p>
  </w:endnote>
  <w:endnote w:type="continuationSeparator" w:id="0">
    <w:p w14:paraId="046E5DBE" w14:textId="77777777" w:rsidR="00FD528A" w:rsidRDefault="00FD528A">
      <w:r>
        <w:continuationSeparator/>
      </w:r>
    </w:p>
  </w:endnote>
  <w:endnote w:type="continuationNotice" w:id="1">
    <w:p w14:paraId="6DD60234" w14:textId="77777777" w:rsidR="00FD528A" w:rsidRDefault="00FD5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57283" w14:textId="77777777" w:rsidR="00FD528A" w:rsidRDefault="00FD528A">
      <w:r>
        <w:separator/>
      </w:r>
    </w:p>
  </w:footnote>
  <w:footnote w:type="continuationSeparator" w:id="0">
    <w:p w14:paraId="34D6786D" w14:textId="77777777" w:rsidR="00FD528A" w:rsidRDefault="00FD528A">
      <w:r>
        <w:continuationSeparator/>
      </w:r>
    </w:p>
  </w:footnote>
  <w:footnote w:type="continuationNotice" w:id="1">
    <w:p w14:paraId="23B6B07C" w14:textId="77777777" w:rsidR="00FD528A" w:rsidRDefault="00FD52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D5A6A10"/>
    <w:multiLevelType w:val="hybridMultilevel"/>
    <w:tmpl w:val="198A05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82C2E"/>
    <w:multiLevelType w:val="hybridMultilevel"/>
    <w:tmpl w:val="3D7885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6"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FAF3D50"/>
    <w:multiLevelType w:val="hybridMultilevel"/>
    <w:tmpl w:val="A84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A35044"/>
    <w:multiLevelType w:val="hybridMultilevel"/>
    <w:tmpl w:val="19F2D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E8A7C87"/>
    <w:multiLevelType w:val="hybridMultilevel"/>
    <w:tmpl w:val="4538C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8" w15:restartNumberingAfterBreak="0">
    <w:nsid w:val="421E3F4C"/>
    <w:multiLevelType w:val="hybridMultilevel"/>
    <w:tmpl w:val="06BA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5658F1"/>
    <w:multiLevelType w:val="hybridMultilevel"/>
    <w:tmpl w:val="C8DE8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E014B6"/>
    <w:multiLevelType w:val="hybridMultilevel"/>
    <w:tmpl w:val="932EF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7"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214989"/>
    <w:multiLevelType w:val="hybridMultilevel"/>
    <w:tmpl w:val="96D4E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305DD8"/>
    <w:multiLevelType w:val="hybridMultilevel"/>
    <w:tmpl w:val="D3EA3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C5583F"/>
    <w:multiLevelType w:val="hybridMultilevel"/>
    <w:tmpl w:val="808E3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5940259"/>
    <w:multiLevelType w:val="hybridMultilevel"/>
    <w:tmpl w:val="96747BFA"/>
    <w:lvl w:ilvl="0" w:tplc="B5A8667A">
      <w:numFmt w:val="bullet"/>
      <w:lvlText w:val="-"/>
      <w:lvlJc w:val="left"/>
      <w:pPr>
        <w:ind w:left="76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0"/>
  </w:num>
  <w:num w:numId="3">
    <w:abstractNumId w:val="17"/>
  </w:num>
  <w:num w:numId="4">
    <w:abstractNumId w:val="8"/>
  </w:num>
  <w:num w:numId="5">
    <w:abstractNumId w:val="0"/>
  </w:num>
  <w:num w:numId="6">
    <w:abstractNumId w:val="15"/>
  </w:num>
  <w:num w:numId="7">
    <w:abstractNumId w:val="34"/>
  </w:num>
  <w:num w:numId="8">
    <w:abstractNumId w:val="23"/>
  </w:num>
  <w:num w:numId="9">
    <w:abstractNumId w:val="35"/>
  </w:num>
  <w:num w:numId="10">
    <w:abstractNumId w:val="21"/>
  </w:num>
  <w:num w:numId="11">
    <w:abstractNumId w:val="6"/>
  </w:num>
  <w:num w:numId="12">
    <w:abstractNumId w:val="31"/>
  </w:num>
  <w:num w:numId="13">
    <w:abstractNumId w:val="4"/>
  </w:num>
  <w:num w:numId="14">
    <w:abstractNumId w:val="16"/>
  </w:num>
  <w:num w:numId="15">
    <w:abstractNumId w:val="30"/>
  </w:num>
  <w:num w:numId="16">
    <w:abstractNumId w:val="25"/>
  </w:num>
  <w:num w:numId="17">
    <w:abstractNumId w:val="27"/>
  </w:num>
  <w:num w:numId="18">
    <w:abstractNumId w:val="13"/>
  </w:num>
  <w:num w:numId="19">
    <w:abstractNumId w:val="33"/>
  </w:num>
  <w:num w:numId="20">
    <w:abstractNumId w:val="14"/>
  </w:num>
  <w:num w:numId="21">
    <w:abstractNumId w:val="12"/>
  </w:num>
  <w:num w:numId="22">
    <w:abstractNumId w:val="7"/>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2"/>
  </w:num>
  <w:num w:numId="26">
    <w:abstractNumId w:val="19"/>
  </w:num>
  <w:num w:numId="27">
    <w:abstractNumId w:val="28"/>
  </w:num>
  <w:num w:numId="28">
    <w:abstractNumId w:val="11"/>
  </w:num>
  <w:num w:numId="29">
    <w:abstractNumId w:val="5"/>
  </w:num>
  <w:num w:numId="30">
    <w:abstractNumId w:val="22"/>
  </w:num>
  <w:num w:numId="31">
    <w:abstractNumId w:val="1"/>
  </w:num>
  <w:num w:numId="32">
    <w:abstractNumId w:val="18"/>
  </w:num>
  <w:num w:numId="33">
    <w:abstractNumId w:val="10"/>
  </w:num>
  <w:num w:numId="34">
    <w:abstractNumId w:val="3"/>
  </w:num>
  <w:num w:numId="35">
    <w:abstractNumId w:val="32"/>
  </w:num>
  <w:num w:numId="36">
    <w:abstractNumId w:val="2"/>
  </w:num>
  <w:num w:numId="37">
    <w:abstractNumId w:val="29"/>
  </w:num>
  <w:num w:numId="38">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102FF"/>
    <w:rsid w:val="0001122A"/>
    <w:rsid w:val="0001157C"/>
    <w:rsid w:val="00011972"/>
    <w:rsid w:val="00012274"/>
    <w:rsid w:val="00012AC9"/>
    <w:rsid w:val="00012D96"/>
    <w:rsid w:val="000133EC"/>
    <w:rsid w:val="00015C40"/>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2C1"/>
    <w:rsid w:val="0004157F"/>
    <w:rsid w:val="00041A7F"/>
    <w:rsid w:val="00042C53"/>
    <w:rsid w:val="000437AE"/>
    <w:rsid w:val="00045485"/>
    <w:rsid w:val="00046177"/>
    <w:rsid w:val="000464D2"/>
    <w:rsid w:val="00050083"/>
    <w:rsid w:val="00051AE3"/>
    <w:rsid w:val="000526BF"/>
    <w:rsid w:val="00057629"/>
    <w:rsid w:val="00057B16"/>
    <w:rsid w:val="00060A19"/>
    <w:rsid w:val="0006135B"/>
    <w:rsid w:val="00062DA9"/>
    <w:rsid w:val="00063E5F"/>
    <w:rsid w:val="00063EB5"/>
    <w:rsid w:val="000645C6"/>
    <w:rsid w:val="00064660"/>
    <w:rsid w:val="000657A3"/>
    <w:rsid w:val="00067574"/>
    <w:rsid w:val="00070CB1"/>
    <w:rsid w:val="00071A2D"/>
    <w:rsid w:val="0007415F"/>
    <w:rsid w:val="00075598"/>
    <w:rsid w:val="0007693D"/>
    <w:rsid w:val="000771C1"/>
    <w:rsid w:val="000772E2"/>
    <w:rsid w:val="00080250"/>
    <w:rsid w:val="00080E3B"/>
    <w:rsid w:val="00081217"/>
    <w:rsid w:val="0008324D"/>
    <w:rsid w:val="0008487C"/>
    <w:rsid w:val="00085823"/>
    <w:rsid w:val="0008721F"/>
    <w:rsid w:val="00087A3B"/>
    <w:rsid w:val="00087D3A"/>
    <w:rsid w:val="0009061A"/>
    <w:rsid w:val="0009120A"/>
    <w:rsid w:val="00091DAB"/>
    <w:rsid w:val="0009209F"/>
    <w:rsid w:val="00092A5C"/>
    <w:rsid w:val="000930E8"/>
    <w:rsid w:val="00093601"/>
    <w:rsid w:val="00093F9E"/>
    <w:rsid w:val="00094981"/>
    <w:rsid w:val="00094A8E"/>
    <w:rsid w:val="000952BF"/>
    <w:rsid w:val="0009577B"/>
    <w:rsid w:val="000961E0"/>
    <w:rsid w:val="00096574"/>
    <w:rsid w:val="00096B0F"/>
    <w:rsid w:val="00096DD3"/>
    <w:rsid w:val="00097466"/>
    <w:rsid w:val="0009759A"/>
    <w:rsid w:val="000A0861"/>
    <w:rsid w:val="000A1ACC"/>
    <w:rsid w:val="000A1E1B"/>
    <w:rsid w:val="000A2552"/>
    <w:rsid w:val="000A35CB"/>
    <w:rsid w:val="000A519B"/>
    <w:rsid w:val="000A670D"/>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D2641"/>
    <w:rsid w:val="000D2E23"/>
    <w:rsid w:val="000D47AF"/>
    <w:rsid w:val="000D49B2"/>
    <w:rsid w:val="000D639E"/>
    <w:rsid w:val="000D6E32"/>
    <w:rsid w:val="000D7219"/>
    <w:rsid w:val="000D7B2E"/>
    <w:rsid w:val="000E2A73"/>
    <w:rsid w:val="000E373D"/>
    <w:rsid w:val="000E678E"/>
    <w:rsid w:val="000F0284"/>
    <w:rsid w:val="000F0589"/>
    <w:rsid w:val="000F0B4D"/>
    <w:rsid w:val="000F0E79"/>
    <w:rsid w:val="000F183A"/>
    <w:rsid w:val="000F2691"/>
    <w:rsid w:val="000F34C5"/>
    <w:rsid w:val="000F5A6E"/>
    <w:rsid w:val="000F7D30"/>
    <w:rsid w:val="001005BC"/>
    <w:rsid w:val="00102B6D"/>
    <w:rsid w:val="00103160"/>
    <w:rsid w:val="001041EA"/>
    <w:rsid w:val="00104C9E"/>
    <w:rsid w:val="0010548F"/>
    <w:rsid w:val="001056F6"/>
    <w:rsid w:val="00105BF5"/>
    <w:rsid w:val="00106793"/>
    <w:rsid w:val="00106D5C"/>
    <w:rsid w:val="00106DB8"/>
    <w:rsid w:val="00106E4E"/>
    <w:rsid w:val="001074FE"/>
    <w:rsid w:val="001103B4"/>
    <w:rsid w:val="001116CE"/>
    <w:rsid w:val="00111DCA"/>
    <w:rsid w:val="00112FBE"/>
    <w:rsid w:val="00113713"/>
    <w:rsid w:val="00113FFC"/>
    <w:rsid w:val="001156D6"/>
    <w:rsid w:val="00116008"/>
    <w:rsid w:val="00116F7A"/>
    <w:rsid w:val="00117DD7"/>
    <w:rsid w:val="00120015"/>
    <w:rsid w:val="00120EB1"/>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6D8B"/>
    <w:rsid w:val="00136DE8"/>
    <w:rsid w:val="0014010F"/>
    <w:rsid w:val="001415AE"/>
    <w:rsid w:val="001432C0"/>
    <w:rsid w:val="00144192"/>
    <w:rsid w:val="00147203"/>
    <w:rsid w:val="00152F90"/>
    <w:rsid w:val="00153DAF"/>
    <w:rsid w:val="00154348"/>
    <w:rsid w:val="00155449"/>
    <w:rsid w:val="00155458"/>
    <w:rsid w:val="00156E9C"/>
    <w:rsid w:val="00157531"/>
    <w:rsid w:val="00157EE5"/>
    <w:rsid w:val="00160371"/>
    <w:rsid w:val="00162258"/>
    <w:rsid w:val="001623C0"/>
    <w:rsid w:val="0016276D"/>
    <w:rsid w:val="001641D6"/>
    <w:rsid w:val="001703DF"/>
    <w:rsid w:val="00170F46"/>
    <w:rsid w:val="00171BCC"/>
    <w:rsid w:val="00173B87"/>
    <w:rsid w:val="00173C0F"/>
    <w:rsid w:val="00174FBB"/>
    <w:rsid w:val="001759AC"/>
    <w:rsid w:val="001773FC"/>
    <w:rsid w:val="00177C0E"/>
    <w:rsid w:val="00180FB8"/>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874"/>
    <w:rsid w:val="001A4ED2"/>
    <w:rsid w:val="001A6249"/>
    <w:rsid w:val="001A683D"/>
    <w:rsid w:val="001A6957"/>
    <w:rsid w:val="001A7756"/>
    <w:rsid w:val="001B0C5B"/>
    <w:rsid w:val="001B173A"/>
    <w:rsid w:val="001B1893"/>
    <w:rsid w:val="001B199A"/>
    <w:rsid w:val="001B1A12"/>
    <w:rsid w:val="001B20FE"/>
    <w:rsid w:val="001B39B3"/>
    <w:rsid w:val="001B3BA0"/>
    <w:rsid w:val="001B446B"/>
    <w:rsid w:val="001B4CA8"/>
    <w:rsid w:val="001B5FE5"/>
    <w:rsid w:val="001B6293"/>
    <w:rsid w:val="001B63B1"/>
    <w:rsid w:val="001B6F5E"/>
    <w:rsid w:val="001C147E"/>
    <w:rsid w:val="001C1F1C"/>
    <w:rsid w:val="001C5D90"/>
    <w:rsid w:val="001C5F5C"/>
    <w:rsid w:val="001C613A"/>
    <w:rsid w:val="001C6797"/>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1CB7"/>
    <w:rsid w:val="001E3CC4"/>
    <w:rsid w:val="001E507C"/>
    <w:rsid w:val="001E554C"/>
    <w:rsid w:val="001E577C"/>
    <w:rsid w:val="001E6315"/>
    <w:rsid w:val="001E6E71"/>
    <w:rsid w:val="001F24B2"/>
    <w:rsid w:val="001F2AE2"/>
    <w:rsid w:val="001F2DBA"/>
    <w:rsid w:val="001F3272"/>
    <w:rsid w:val="001F37F8"/>
    <w:rsid w:val="001F3B16"/>
    <w:rsid w:val="001F3CB9"/>
    <w:rsid w:val="001F4476"/>
    <w:rsid w:val="001F4FDD"/>
    <w:rsid w:val="001F5647"/>
    <w:rsid w:val="001F5D33"/>
    <w:rsid w:val="001F6322"/>
    <w:rsid w:val="001F6352"/>
    <w:rsid w:val="001F6D3C"/>
    <w:rsid w:val="001F725C"/>
    <w:rsid w:val="001F7576"/>
    <w:rsid w:val="001F7D71"/>
    <w:rsid w:val="0020013C"/>
    <w:rsid w:val="00200BC4"/>
    <w:rsid w:val="00202107"/>
    <w:rsid w:val="00203776"/>
    <w:rsid w:val="00203A7C"/>
    <w:rsid w:val="00205730"/>
    <w:rsid w:val="00207880"/>
    <w:rsid w:val="00210024"/>
    <w:rsid w:val="00210426"/>
    <w:rsid w:val="002106BB"/>
    <w:rsid w:val="00210A8C"/>
    <w:rsid w:val="00210C0B"/>
    <w:rsid w:val="002136ED"/>
    <w:rsid w:val="002146C4"/>
    <w:rsid w:val="00216320"/>
    <w:rsid w:val="0021716A"/>
    <w:rsid w:val="002173CA"/>
    <w:rsid w:val="0021781D"/>
    <w:rsid w:val="002179A0"/>
    <w:rsid w:val="00220776"/>
    <w:rsid w:val="00220873"/>
    <w:rsid w:val="00221BCA"/>
    <w:rsid w:val="0022222B"/>
    <w:rsid w:val="00222841"/>
    <w:rsid w:val="00222FEB"/>
    <w:rsid w:val="00223C4F"/>
    <w:rsid w:val="0022541D"/>
    <w:rsid w:val="00225824"/>
    <w:rsid w:val="0022618D"/>
    <w:rsid w:val="00226816"/>
    <w:rsid w:val="0022688D"/>
    <w:rsid w:val="002270B0"/>
    <w:rsid w:val="00230140"/>
    <w:rsid w:val="0023091B"/>
    <w:rsid w:val="00232D32"/>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E6"/>
    <w:rsid w:val="00252C04"/>
    <w:rsid w:val="00252DA1"/>
    <w:rsid w:val="00253F70"/>
    <w:rsid w:val="00254BFE"/>
    <w:rsid w:val="00255B00"/>
    <w:rsid w:val="00257594"/>
    <w:rsid w:val="0025781D"/>
    <w:rsid w:val="0026014F"/>
    <w:rsid w:val="00261CCC"/>
    <w:rsid w:val="00262B65"/>
    <w:rsid w:val="0026394C"/>
    <w:rsid w:val="00263CA8"/>
    <w:rsid w:val="00265437"/>
    <w:rsid w:val="0026656B"/>
    <w:rsid w:val="002679C5"/>
    <w:rsid w:val="00270216"/>
    <w:rsid w:val="0027318F"/>
    <w:rsid w:val="002732F5"/>
    <w:rsid w:val="002739DC"/>
    <w:rsid w:val="00274508"/>
    <w:rsid w:val="00275802"/>
    <w:rsid w:val="00275F80"/>
    <w:rsid w:val="002761EC"/>
    <w:rsid w:val="00280ED8"/>
    <w:rsid w:val="00281007"/>
    <w:rsid w:val="00281464"/>
    <w:rsid w:val="0028190C"/>
    <w:rsid w:val="00282700"/>
    <w:rsid w:val="00282896"/>
    <w:rsid w:val="00284BAA"/>
    <w:rsid w:val="002850B5"/>
    <w:rsid w:val="00285393"/>
    <w:rsid w:val="00286D51"/>
    <w:rsid w:val="00286F93"/>
    <w:rsid w:val="00287680"/>
    <w:rsid w:val="002878A7"/>
    <w:rsid w:val="00291026"/>
    <w:rsid w:val="0029163A"/>
    <w:rsid w:val="00291C04"/>
    <w:rsid w:val="00292299"/>
    <w:rsid w:val="00293936"/>
    <w:rsid w:val="00293E19"/>
    <w:rsid w:val="00294238"/>
    <w:rsid w:val="00295608"/>
    <w:rsid w:val="0029599B"/>
    <w:rsid w:val="00295ADF"/>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4D1A"/>
    <w:rsid w:val="002B54B3"/>
    <w:rsid w:val="002B54B9"/>
    <w:rsid w:val="002B56B8"/>
    <w:rsid w:val="002B5807"/>
    <w:rsid w:val="002B6E06"/>
    <w:rsid w:val="002C01D5"/>
    <w:rsid w:val="002C2C63"/>
    <w:rsid w:val="002C4A0E"/>
    <w:rsid w:val="002C4FAB"/>
    <w:rsid w:val="002C584A"/>
    <w:rsid w:val="002C75C7"/>
    <w:rsid w:val="002D14A6"/>
    <w:rsid w:val="002D1FA5"/>
    <w:rsid w:val="002D4F72"/>
    <w:rsid w:val="002D5C34"/>
    <w:rsid w:val="002E09BD"/>
    <w:rsid w:val="002E0D51"/>
    <w:rsid w:val="002E24EA"/>
    <w:rsid w:val="002E2DE7"/>
    <w:rsid w:val="002E3E88"/>
    <w:rsid w:val="002E6330"/>
    <w:rsid w:val="002E73EE"/>
    <w:rsid w:val="002E7691"/>
    <w:rsid w:val="002E77DE"/>
    <w:rsid w:val="002F0B65"/>
    <w:rsid w:val="002F1D23"/>
    <w:rsid w:val="002F2113"/>
    <w:rsid w:val="002F27E9"/>
    <w:rsid w:val="002F2D28"/>
    <w:rsid w:val="002F2DED"/>
    <w:rsid w:val="002F6229"/>
    <w:rsid w:val="002F7659"/>
    <w:rsid w:val="003017FF"/>
    <w:rsid w:val="00301B0B"/>
    <w:rsid w:val="003058CD"/>
    <w:rsid w:val="0030595F"/>
    <w:rsid w:val="00305F45"/>
    <w:rsid w:val="003077B4"/>
    <w:rsid w:val="00307F60"/>
    <w:rsid w:val="00310D7A"/>
    <w:rsid w:val="003119DD"/>
    <w:rsid w:val="00311BD9"/>
    <w:rsid w:val="00311D07"/>
    <w:rsid w:val="00312529"/>
    <w:rsid w:val="00313A61"/>
    <w:rsid w:val="00314ABC"/>
    <w:rsid w:val="00315418"/>
    <w:rsid w:val="00316128"/>
    <w:rsid w:val="003162A9"/>
    <w:rsid w:val="0031736C"/>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5EF"/>
    <w:rsid w:val="00336A8D"/>
    <w:rsid w:val="00337E85"/>
    <w:rsid w:val="00340F15"/>
    <w:rsid w:val="00341028"/>
    <w:rsid w:val="003423A9"/>
    <w:rsid w:val="003428F0"/>
    <w:rsid w:val="00342BA5"/>
    <w:rsid w:val="003438A6"/>
    <w:rsid w:val="00344A18"/>
    <w:rsid w:val="003474A9"/>
    <w:rsid w:val="003505EF"/>
    <w:rsid w:val="00350811"/>
    <w:rsid w:val="0035221F"/>
    <w:rsid w:val="00352564"/>
    <w:rsid w:val="003527BE"/>
    <w:rsid w:val="003539C7"/>
    <w:rsid w:val="00354842"/>
    <w:rsid w:val="003567DC"/>
    <w:rsid w:val="00356FC8"/>
    <w:rsid w:val="003620D0"/>
    <w:rsid w:val="00362458"/>
    <w:rsid w:val="00362CFE"/>
    <w:rsid w:val="00364355"/>
    <w:rsid w:val="00364752"/>
    <w:rsid w:val="003655DA"/>
    <w:rsid w:val="003675D2"/>
    <w:rsid w:val="00367E12"/>
    <w:rsid w:val="00371CCF"/>
    <w:rsid w:val="00372494"/>
    <w:rsid w:val="00374486"/>
    <w:rsid w:val="003753AD"/>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EF1"/>
    <w:rsid w:val="003B312B"/>
    <w:rsid w:val="003B4C2F"/>
    <w:rsid w:val="003B5EBD"/>
    <w:rsid w:val="003B68D5"/>
    <w:rsid w:val="003B6947"/>
    <w:rsid w:val="003B6EA4"/>
    <w:rsid w:val="003B7662"/>
    <w:rsid w:val="003C39BA"/>
    <w:rsid w:val="003C4010"/>
    <w:rsid w:val="003C646A"/>
    <w:rsid w:val="003C6A8B"/>
    <w:rsid w:val="003C6D41"/>
    <w:rsid w:val="003C7917"/>
    <w:rsid w:val="003D3533"/>
    <w:rsid w:val="003D4318"/>
    <w:rsid w:val="003D4C90"/>
    <w:rsid w:val="003D4D17"/>
    <w:rsid w:val="003D529F"/>
    <w:rsid w:val="003D5853"/>
    <w:rsid w:val="003D595D"/>
    <w:rsid w:val="003D6543"/>
    <w:rsid w:val="003D6618"/>
    <w:rsid w:val="003D6D17"/>
    <w:rsid w:val="003D6EE0"/>
    <w:rsid w:val="003D7D15"/>
    <w:rsid w:val="003D7DE4"/>
    <w:rsid w:val="003E0300"/>
    <w:rsid w:val="003E094D"/>
    <w:rsid w:val="003E0DFA"/>
    <w:rsid w:val="003E0E4D"/>
    <w:rsid w:val="003E1318"/>
    <w:rsid w:val="003E483F"/>
    <w:rsid w:val="003E7694"/>
    <w:rsid w:val="003F04CF"/>
    <w:rsid w:val="003F0FF5"/>
    <w:rsid w:val="003F1C08"/>
    <w:rsid w:val="003F1DD9"/>
    <w:rsid w:val="003F3102"/>
    <w:rsid w:val="003F389F"/>
    <w:rsid w:val="003F61CD"/>
    <w:rsid w:val="003F7E74"/>
    <w:rsid w:val="004012D6"/>
    <w:rsid w:val="00401479"/>
    <w:rsid w:val="0040350E"/>
    <w:rsid w:val="004039B1"/>
    <w:rsid w:val="00403E3D"/>
    <w:rsid w:val="004042FC"/>
    <w:rsid w:val="004063FB"/>
    <w:rsid w:val="00406E0B"/>
    <w:rsid w:val="00407DC9"/>
    <w:rsid w:val="00407FE3"/>
    <w:rsid w:val="0041051B"/>
    <w:rsid w:val="00410DD6"/>
    <w:rsid w:val="00411571"/>
    <w:rsid w:val="00411BEB"/>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EE5"/>
    <w:rsid w:val="004275E2"/>
    <w:rsid w:val="00427D9F"/>
    <w:rsid w:val="0043008A"/>
    <w:rsid w:val="00430383"/>
    <w:rsid w:val="0043057A"/>
    <w:rsid w:val="00430997"/>
    <w:rsid w:val="00431425"/>
    <w:rsid w:val="004319AD"/>
    <w:rsid w:val="0043408E"/>
    <w:rsid w:val="00434697"/>
    <w:rsid w:val="00434912"/>
    <w:rsid w:val="00435037"/>
    <w:rsid w:val="00436EE6"/>
    <w:rsid w:val="004379DA"/>
    <w:rsid w:val="00440646"/>
    <w:rsid w:val="00440F78"/>
    <w:rsid w:val="004413B2"/>
    <w:rsid w:val="0044175E"/>
    <w:rsid w:val="00441FC3"/>
    <w:rsid w:val="00445066"/>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60EC"/>
    <w:rsid w:val="004764E9"/>
    <w:rsid w:val="004768FB"/>
    <w:rsid w:val="00477067"/>
    <w:rsid w:val="00477FAF"/>
    <w:rsid w:val="00480EF5"/>
    <w:rsid w:val="0048287B"/>
    <w:rsid w:val="0048341C"/>
    <w:rsid w:val="00483B30"/>
    <w:rsid w:val="0048511E"/>
    <w:rsid w:val="00490605"/>
    <w:rsid w:val="004909D7"/>
    <w:rsid w:val="00491473"/>
    <w:rsid w:val="00491FCD"/>
    <w:rsid w:val="00492332"/>
    <w:rsid w:val="00492A87"/>
    <w:rsid w:val="004930F9"/>
    <w:rsid w:val="00493635"/>
    <w:rsid w:val="00495FF3"/>
    <w:rsid w:val="0049683E"/>
    <w:rsid w:val="00496900"/>
    <w:rsid w:val="00496CCE"/>
    <w:rsid w:val="004A1339"/>
    <w:rsid w:val="004A2043"/>
    <w:rsid w:val="004A4173"/>
    <w:rsid w:val="004A5E5A"/>
    <w:rsid w:val="004A650D"/>
    <w:rsid w:val="004A7D79"/>
    <w:rsid w:val="004B158E"/>
    <w:rsid w:val="004B275B"/>
    <w:rsid w:val="004B27C6"/>
    <w:rsid w:val="004B334F"/>
    <w:rsid w:val="004B4E8E"/>
    <w:rsid w:val="004B592F"/>
    <w:rsid w:val="004B6887"/>
    <w:rsid w:val="004B6ED1"/>
    <w:rsid w:val="004C0E1A"/>
    <w:rsid w:val="004C13B8"/>
    <w:rsid w:val="004C1ACF"/>
    <w:rsid w:val="004C2D06"/>
    <w:rsid w:val="004C4763"/>
    <w:rsid w:val="004C5C16"/>
    <w:rsid w:val="004C77E0"/>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8B2"/>
    <w:rsid w:val="004F24E1"/>
    <w:rsid w:val="004F4501"/>
    <w:rsid w:val="004F4509"/>
    <w:rsid w:val="004F45DC"/>
    <w:rsid w:val="004F4A81"/>
    <w:rsid w:val="004F6519"/>
    <w:rsid w:val="00501BCF"/>
    <w:rsid w:val="005025A2"/>
    <w:rsid w:val="00502AA5"/>
    <w:rsid w:val="00503879"/>
    <w:rsid w:val="00503C98"/>
    <w:rsid w:val="00503DA1"/>
    <w:rsid w:val="0050515F"/>
    <w:rsid w:val="005052E5"/>
    <w:rsid w:val="005059D6"/>
    <w:rsid w:val="005101DA"/>
    <w:rsid w:val="005107F1"/>
    <w:rsid w:val="00510A5F"/>
    <w:rsid w:val="00511B06"/>
    <w:rsid w:val="005141B3"/>
    <w:rsid w:val="00514ACC"/>
    <w:rsid w:val="005151DD"/>
    <w:rsid w:val="00515AA1"/>
    <w:rsid w:val="00516587"/>
    <w:rsid w:val="0051696E"/>
    <w:rsid w:val="00516A62"/>
    <w:rsid w:val="005173E4"/>
    <w:rsid w:val="00520454"/>
    <w:rsid w:val="00520874"/>
    <w:rsid w:val="005219D0"/>
    <w:rsid w:val="00521A78"/>
    <w:rsid w:val="00521ADB"/>
    <w:rsid w:val="005226B7"/>
    <w:rsid w:val="00525ABD"/>
    <w:rsid w:val="00526535"/>
    <w:rsid w:val="00527811"/>
    <w:rsid w:val="005304A6"/>
    <w:rsid w:val="005317FD"/>
    <w:rsid w:val="00533EC2"/>
    <w:rsid w:val="0053447D"/>
    <w:rsid w:val="00534FD8"/>
    <w:rsid w:val="00536178"/>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741"/>
    <w:rsid w:val="0056115F"/>
    <w:rsid w:val="00562569"/>
    <w:rsid w:val="00562EA3"/>
    <w:rsid w:val="005634C8"/>
    <w:rsid w:val="005640F6"/>
    <w:rsid w:val="00564B64"/>
    <w:rsid w:val="005654F5"/>
    <w:rsid w:val="005658A0"/>
    <w:rsid w:val="005661C8"/>
    <w:rsid w:val="005665B6"/>
    <w:rsid w:val="00566A1B"/>
    <w:rsid w:val="005701B4"/>
    <w:rsid w:val="005710C3"/>
    <w:rsid w:val="0057251F"/>
    <w:rsid w:val="0057264E"/>
    <w:rsid w:val="005738B2"/>
    <w:rsid w:val="00574987"/>
    <w:rsid w:val="00575310"/>
    <w:rsid w:val="00575F7F"/>
    <w:rsid w:val="00576978"/>
    <w:rsid w:val="00576DCA"/>
    <w:rsid w:val="005776BC"/>
    <w:rsid w:val="00577751"/>
    <w:rsid w:val="00577F8A"/>
    <w:rsid w:val="00580724"/>
    <w:rsid w:val="00581C14"/>
    <w:rsid w:val="0058260F"/>
    <w:rsid w:val="00582941"/>
    <w:rsid w:val="00583CEF"/>
    <w:rsid w:val="00585563"/>
    <w:rsid w:val="00585FEE"/>
    <w:rsid w:val="00586DFE"/>
    <w:rsid w:val="005873A3"/>
    <w:rsid w:val="00587E70"/>
    <w:rsid w:val="00587FDD"/>
    <w:rsid w:val="0059077E"/>
    <w:rsid w:val="00591021"/>
    <w:rsid w:val="00591EEB"/>
    <w:rsid w:val="005931D4"/>
    <w:rsid w:val="00593D68"/>
    <w:rsid w:val="00594D3D"/>
    <w:rsid w:val="00594DEA"/>
    <w:rsid w:val="0059722F"/>
    <w:rsid w:val="005A0046"/>
    <w:rsid w:val="005A029D"/>
    <w:rsid w:val="005A072A"/>
    <w:rsid w:val="005A09C4"/>
    <w:rsid w:val="005A0A84"/>
    <w:rsid w:val="005A3166"/>
    <w:rsid w:val="005A3297"/>
    <w:rsid w:val="005A4D5E"/>
    <w:rsid w:val="005A716B"/>
    <w:rsid w:val="005A73BF"/>
    <w:rsid w:val="005A77C0"/>
    <w:rsid w:val="005A7CC5"/>
    <w:rsid w:val="005B0D27"/>
    <w:rsid w:val="005B1306"/>
    <w:rsid w:val="005B2443"/>
    <w:rsid w:val="005B2791"/>
    <w:rsid w:val="005B3363"/>
    <w:rsid w:val="005B404D"/>
    <w:rsid w:val="005B46C8"/>
    <w:rsid w:val="005B4E84"/>
    <w:rsid w:val="005B58B5"/>
    <w:rsid w:val="005B62D0"/>
    <w:rsid w:val="005B74B1"/>
    <w:rsid w:val="005C0CE9"/>
    <w:rsid w:val="005C19D9"/>
    <w:rsid w:val="005C1DF4"/>
    <w:rsid w:val="005C30E6"/>
    <w:rsid w:val="005C3C89"/>
    <w:rsid w:val="005C3EB6"/>
    <w:rsid w:val="005C42CE"/>
    <w:rsid w:val="005C54CF"/>
    <w:rsid w:val="005C6408"/>
    <w:rsid w:val="005C6FAF"/>
    <w:rsid w:val="005C70A9"/>
    <w:rsid w:val="005C7515"/>
    <w:rsid w:val="005C7C05"/>
    <w:rsid w:val="005D2525"/>
    <w:rsid w:val="005D2ADA"/>
    <w:rsid w:val="005D2E33"/>
    <w:rsid w:val="005D2E78"/>
    <w:rsid w:val="005D4784"/>
    <w:rsid w:val="005D537D"/>
    <w:rsid w:val="005D5952"/>
    <w:rsid w:val="005D59D4"/>
    <w:rsid w:val="005D5AE6"/>
    <w:rsid w:val="005D6FEC"/>
    <w:rsid w:val="005D729E"/>
    <w:rsid w:val="005D78F2"/>
    <w:rsid w:val="005E0419"/>
    <w:rsid w:val="005E1910"/>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923"/>
    <w:rsid w:val="005F4FD9"/>
    <w:rsid w:val="005F55C5"/>
    <w:rsid w:val="005F5642"/>
    <w:rsid w:val="005F5FE9"/>
    <w:rsid w:val="005F6ABE"/>
    <w:rsid w:val="00600272"/>
    <w:rsid w:val="00601258"/>
    <w:rsid w:val="006025F2"/>
    <w:rsid w:val="006035C5"/>
    <w:rsid w:val="006036D1"/>
    <w:rsid w:val="00605E6D"/>
    <w:rsid w:val="006071D3"/>
    <w:rsid w:val="00610ACA"/>
    <w:rsid w:val="00611AD1"/>
    <w:rsid w:val="00614D4C"/>
    <w:rsid w:val="00615A70"/>
    <w:rsid w:val="00615BEB"/>
    <w:rsid w:val="0061635F"/>
    <w:rsid w:val="00616D13"/>
    <w:rsid w:val="00620DD7"/>
    <w:rsid w:val="00622A77"/>
    <w:rsid w:val="006236B8"/>
    <w:rsid w:val="006236EB"/>
    <w:rsid w:val="00623A5F"/>
    <w:rsid w:val="00624DB8"/>
    <w:rsid w:val="00626BB3"/>
    <w:rsid w:val="00627A4E"/>
    <w:rsid w:val="00627F2D"/>
    <w:rsid w:val="00633952"/>
    <w:rsid w:val="00633E08"/>
    <w:rsid w:val="0063473D"/>
    <w:rsid w:val="00635754"/>
    <w:rsid w:val="00636ABB"/>
    <w:rsid w:val="00637ED0"/>
    <w:rsid w:val="0064009E"/>
    <w:rsid w:val="006403E0"/>
    <w:rsid w:val="0064052F"/>
    <w:rsid w:val="0064072D"/>
    <w:rsid w:val="00640BA7"/>
    <w:rsid w:val="006430B7"/>
    <w:rsid w:val="00643E1D"/>
    <w:rsid w:val="006440AC"/>
    <w:rsid w:val="00644EA1"/>
    <w:rsid w:val="00644ED3"/>
    <w:rsid w:val="00647C3D"/>
    <w:rsid w:val="00653984"/>
    <w:rsid w:val="00654406"/>
    <w:rsid w:val="006552C5"/>
    <w:rsid w:val="0065646B"/>
    <w:rsid w:val="00656747"/>
    <w:rsid w:val="006569B2"/>
    <w:rsid w:val="0065740A"/>
    <w:rsid w:val="00657DD9"/>
    <w:rsid w:val="00661116"/>
    <w:rsid w:val="006614B0"/>
    <w:rsid w:val="00661EC5"/>
    <w:rsid w:val="006627DB"/>
    <w:rsid w:val="00662952"/>
    <w:rsid w:val="00663EE5"/>
    <w:rsid w:val="00664E2F"/>
    <w:rsid w:val="006651CD"/>
    <w:rsid w:val="006672D5"/>
    <w:rsid w:val="00667D1D"/>
    <w:rsid w:val="006712C5"/>
    <w:rsid w:val="00671754"/>
    <w:rsid w:val="0067188C"/>
    <w:rsid w:val="00673015"/>
    <w:rsid w:val="00675093"/>
    <w:rsid w:val="006753E7"/>
    <w:rsid w:val="00675401"/>
    <w:rsid w:val="00675A71"/>
    <w:rsid w:val="00676C51"/>
    <w:rsid w:val="0067719A"/>
    <w:rsid w:val="00677BEC"/>
    <w:rsid w:val="00680CAA"/>
    <w:rsid w:val="006815EA"/>
    <w:rsid w:val="00682C7E"/>
    <w:rsid w:val="00683177"/>
    <w:rsid w:val="0068693C"/>
    <w:rsid w:val="00686CB5"/>
    <w:rsid w:val="00687AB3"/>
    <w:rsid w:val="006900D8"/>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57DE"/>
    <w:rsid w:val="006A62C5"/>
    <w:rsid w:val="006B12CE"/>
    <w:rsid w:val="006B2EE0"/>
    <w:rsid w:val="006B35D9"/>
    <w:rsid w:val="006B3682"/>
    <w:rsid w:val="006B39D4"/>
    <w:rsid w:val="006B3EF2"/>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D000C"/>
    <w:rsid w:val="006D01A3"/>
    <w:rsid w:val="006D039E"/>
    <w:rsid w:val="006D0EAA"/>
    <w:rsid w:val="006D0FCE"/>
    <w:rsid w:val="006D1B4D"/>
    <w:rsid w:val="006D21BF"/>
    <w:rsid w:val="006D2F11"/>
    <w:rsid w:val="006D37AB"/>
    <w:rsid w:val="006D5C62"/>
    <w:rsid w:val="006D62EB"/>
    <w:rsid w:val="006D73CE"/>
    <w:rsid w:val="006D789B"/>
    <w:rsid w:val="006D7E8D"/>
    <w:rsid w:val="006E0072"/>
    <w:rsid w:val="006E069C"/>
    <w:rsid w:val="006E1133"/>
    <w:rsid w:val="006E1D27"/>
    <w:rsid w:val="006E3FE3"/>
    <w:rsid w:val="006E44A9"/>
    <w:rsid w:val="006E4F3B"/>
    <w:rsid w:val="006E5421"/>
    <w:rsid w:val="006E6D03"/>
    <w:rsid w:val="006F007F"/>
    <w:rsid w:val="006F1517"/>
    <w:rsid w:val="006F15A8"/>
    <w:rsid w:val="006F2738"/>
    <w:rsid w:val="006F291E"/>
    <w:rsid w:val="006F3479"/>
    <w:rsid w:val="006F377E"/>
    <w:rsid w:val="006F4B29"/>
    <w:rsid w:val="006F4C56"/>
    <w:rsid w:val="006F502D"/>
    <w:rsid w:val="006F50BE"/>
    <w:rsid w:val="006F65C1"/>
    <w:rsid w:val="006F7B73"/>
    <w:rsid w:val="007030D7"/>
    <w:rsid w:val="0070448E"/>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71F6"/>
    <w:rsid w:val="007300BE"/>
    <w:rsid w:val="00730853"/>
    <w:rsid w:val="00730D1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1553"/>
    <w:rsid w:val="00761668"/>
    <w:rsid w:val="0076260A"/>
    <w:rsid w:val="0076288A"/>
    <w:rsid w:val="00762A63"/>
    <w:rsid w:val="00763036"/>
    <w:rsid w:val="00763EC6"/>
    <w:rsid w:val="0076402F"/>
    <w:rsid w:val="00764858"/>
    <w:rsid w:val="00765E60"/>
    <w:rsid w:val="007661AB"/>
    <w:rsid w:val="00767C8F"/>
    <w:rsid w:val="00772940"/>
    <w:rsid w:val="00773AC2"/>
    <w:rsid w:val="00774D29"/>
    <w:rsid w:val="00775043"/>
    <w:rsid w:val="007773E8"/>
    <w:rsid w:val="007822BE"/>
    <w:rsid w:val="00782CC6"/>
    <w:rsid w:val="00782D42"/>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F9"/>
    <w:rsid w:val="007A086D"/>
    <w:rsid w:val="007A0C86"/>
    <w:rsid w:val="007A302B"/>
    <w:rsid w:val="007A3EEF"/>
    <w:rsid w:val="007A3FB0"/>
    <w:rsid w:val="007A7DBA"/>
    <w:rsid w:val="007A7FE6"/>
    <w:rsid w:val="007B13C3"/>
    <w:rsid w:val="007B146F"/>
    <w:rsid w:val="007B1D08"/>
    <w:rsid w:val="007B21D9"/>
    <w:rsid w:val="007B2533"/>
    <w:rsid w:val="007B2994"/>
    <w:rsid w:val="007B3E18"/>
    <w:rsid w:val="007B3EA9"/>
    <w:rsid w:val="007B4186"/>
    <w:rsid w:val="007B72F0"/>
    <w:rsid w:val="007C2A0B"/>
    <w:rsid w:val="007C3B5F"/>
    <w:rsid w:val="007C5797"/>
    <w:rsid w:val="007D060C"/>
    <w:rsid w:val="007D12DF"/>
    <w:rsid w:val="007D3E92"/>
    <w:rsid w:val="007D59B0"/>
    <w:rsid w:val="007E044C"/>
    <w:rsid w:val="007E1D65"/>
    <w:rsid w:val="007E1EF7"/>
    <w:rsid w:val="007E5126"/>
    <w:rsid w:val="007E5A7E"/>
    <w:rsid w:val="007E5E30"/>
    <w:rsid w:val="007E68CD"/>
    <w:rsid w:val="007E7A77"/>
    <w:rsid w:val="007E7F4F"/>
    <w:rsid w:val="007F0027"/>
    <w:rsid w:val="007F1D9C"/>
    <w:rsid w:val="007F2160"/>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2089"/>
    <w:rsid w:val="0081222A"/>
    <w:rsid w:val="00814855"/>
    <w:rsid w:val="008148CA"/>
    <w:rsid w:val="0081571E"/>
    <w:rsid w:val="00815969"/>
    <w:rsid w:val="00815B97"/>
    <w:rsid w:val="00817F32"/>
    <w:rsid w:val="008207CD"/>
    <w:rsid w:val="00820FAA"/>
    <w:rsid w:val="00822F08"/>
    <w:rsid w:val="00824959"/>
    <w:rsid w:val="00824CA4"/>
    <w:rsid w:val="008263EC"/>
    <w:rsid w:val="008265CD"/>
    <w:rsid w:val="00826FBA"/>
    <w:rsid w:val="008321AC"/>
    <w:rsid w:val="00832DFF"/>
    <w:rsid w:val="00832E78"/>
    <w:rsid w:val="008332F2"/>
    <w:rsid w:val="0083471E"/>
    <w:rsid w:val="00834A52"/>
    <w:rsid w:val="00834E64"/>
    <w:rsid w:val="008353D2"/>
    <w:rsid w:val="00836397"/>
    <w:rsid w:val="00836D14"/>
    <w:rsid w:val="008373EA"/>
    <w:rsid w:val="0084008F"/>
    <w:rsid w:val="008401E5"/>
    <w:rsid w:val="0084048D"/>
    <w:rsid w:val="008413E1"/>
    <w:rsid w:val="00841966"/>
    <w:rsid w:val="00842D44"/>
    <w:rsid w:val="0084307E"/>
    <w:rsid w:val="00843540"/>
    <w:rsid w:val="0084384C"/>
    <w:rsid w:val="008461AC"/>
    <w:rsid w:val="0084643E"/>
    <w:rsid w:val="00847A26"/>
    <w:rsid w:val="0085044A"/>
    <w:rsid w:val="0085079B"/>
    <w:rsid w:val="00850F62"/>
    <w:rsid w:val="008510A1"/>
    <w:rsid w:val="00851FE3"/>
    <w:rsid w:val="008549DB"/>
    <w:rsid w:val="00854BB5"/>
    <w:rsid w:val="00855F39"/>
    <w:rsid w:val="0085681C"/>
    <w:rsid w:val="008613C6"/>
    <w:rsid w:val="008676F3"/>
    <w:rsid w:val="008678A0"/>
    <w:rsid w:val="00867A8C"/>
    <w:rsid w:val="0087037B"/>
    <w:rsid w:val="0087068D"/>
    <w:rsid w:val="00870B6A"/>
    <w:rsid w:val="00872A5A"/>
    <w:rsid w:val="00872F7E"/>
    <w:rsid w:val="00873775"/>
    <w:rsid w:val="00873AB2"/>
    <w:rsid w:val="0087467C"/>
    <w:rsid w:val="0087532A"/>
    <w:rsid w:val="00875A0B"/>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31D2"/>
    <w:rsid w:val="00893BA0"/>
    <w:rsid w:val="00894AAA"/>
    <w:rsid w:val="00894ED8"/>
    <w:rsid w:val="00895F98"/>
    <w:rsid w:val="008960B6"/>
    <w:rsid w:val="00897F81"/>
    <w:rsid w:val="008A143C"/>
    <w:rsid w:val="008A188B"/>
    <w:rsid w:val="008A22B1"/>
    <w:rsid w:val="008A22C5"/>
    <w:rsid w:val="008A25E5"/>
    <w:rsid w:val="008A2D1F"/>
    <w:rsid w:val="008A4450"/>
    <w:rsid w:val="008A4933"/>
    <w:rsid w:val="008B0DBE"/>
    <w:rsid w:val="008B14BF"/>
    <w:rsid w:val="008B1B37"/>
    <w:rsid w:val="008B2923"/>
    <w:rsid w:val="008B3175"/>
    <w:rsid w:val="008B3328"/>
    <w:rsid w:val="008B589E"/>
    <w:rsid w:val="008B6C09"/>
    <w:rsid w:val="008C0492"/>
    <w:rsid w:val="008C0657"/>
    <w:rsid w:val="008C0B9D"/>
    <w:rsid w:val="008C1A8D"/>
    <w:rsid w:val="008C1CC1"/>
    <w:rsid w:val="008C1E98"/>
    <w:rsid w:val="008C4D81"/>
    <w:rsid w:val="008C50D9"/>
    <w:rsid w:val="008C51D1"/>
    <w:rsid w:val="008C5436"/>
    <w:rsid w:val="008C73FF"/>
    <w:rsid w:val="008C7F5D"/>
    <w:rsid w:val="008D0109"/>
    <w:rsid w:val="008D4C10"/>
    <w:rsid w:val="008D6B39"/>
    <w:rsid w:val="008D76C0"/>
    <w:rsid w:val="008D7818"/>
    <w:rsid w:val="008D7C42"/>
    <w:rsid w:val="008D7EE7"/>
    <w:rsid w:val="008E0D83"/>
    <w:rsid w:val="008E1D7C"/>
    <w:rsid w:val="008E69D7"/>
    <w:rsid w:val="008E7237"/>
    <w:rsid w:val="008E798E"/>
    <w:rsid w:val="008F0C8E"/>
    <w:rsid w:val="008F13DE"/>
    <w:rsid w:val="008F2B98"/>
    <w:rsid w:val="008F41D7"/>
    <w:rsid w:val="008F434A"/>
    <w:rsid w:val="008F4919"/>
    <w:rsid w:val="008F4AE6"/>
    <w:rsid w:val="008F6008"/>
    <w:rsid w:val="00900397"/>
    <w:rsid w:val="00901FF7"/>
    <w:rsid w:val="00903060"/>
    <w:rsid w:val="00904D4E"/>
    <w:rsid w:val="00905FF8"/>
    <w:rsid w:val="009119CD"/>
    <w:rsid w:val="00912513"/>
    <w:rsid w:val="00913BE8"/>
    <w:rsid w:val="00916119"/>
    <w:rsid w:val="00916802"/>
    <w:rsid w:val="0091689D"/>
    <w:rsid w:val="009173D8"/>
    <w:rsid w:val="00920581"/>
    <w:rsid w:val="00920904"/>
    <w:rsid w:val="00923C84"/>
    <w:rsid w:val="009245C7"/>
    <w:rsid w:val="00924FF2"/>
    <w:rsid w:val="0092594A"/>
    <w:rsid w:val="00925CE7"/>
    <w:rsid w:val="0092617A"/>
    <w:rsid w:val="009261FB"/>
    <w:rsid w:val="009308ED"/>
    <w:rsid w:val="00933633"/>
    <w:rsid w:val="0093393E"/>
    <w:rsid w:val="009340B8"/>
    <w:rsid w:val="00935150"/>
    <w:rsid w:val="009377A0"/>
    <w:rsid w:val="009403AF"/>
    <w:rsid w:val="00941EBA"/>
    <w:rsid w:val="009439DF"/>
    <w:rsid w:val="0094448C"/>
    <w:rsid w:val="00945FD6"/>
    <w:rsid w:val="009466F3"/>
    <w:rsid w:val="00947959"/>
    <w:rsid w:val="00947D7B"/>
    <w:rsid w:val="0095028A"/>
    <w:rsid w:val="00951944"/>
    <w:rsid w:val="009520DB"/>
    <w:rsid w:val="00952EC6"/>
    <w:rsid w:val="00953334"/>
    <w:rsid w:val="00953616"/>
    <w:rsid w:val="00953DBE"/>
    <w:rsid w:val="00955395"/>
    <w:rsid w:val="00955493"/>
    <w:rsid w:val="009604BE"/>
    <w:rsid w:val="0096122E"/>
    <w:rsid w:val="00961354"/>
    <w:rsid w:val="00961B6E"/>
    <w:rsid w:val="00963D94"/>
    <w:rsid w:val="009649D7"/>
    <w:rsid w:val="009656CC"/>
    <w:rsid w:val="00966A3E"/>
    <w:rsid w:val="009700F2"/>
    <w:rsid w:val="00970B1E"/>
    <w:rsid w:val="00971E56"/>
    <w:rsid w:val="00972841"/>
    <w:rsid w:val="00973FDE"/>
    <w:rsid w:val="009743CD"/>
    <w:rsid w:val="00974813"/>
    <w:rsid w:val="00975E63"/>
    <w:rsid w:val="00976D93"/>
    <w:rsid w:val="00977389"/>
    <w:rsid w:val="009779E0"/>
    <w:rsid w:val="009801BC"/>
    <w:rsid w:val="009807B3"/>
    <w:rsid w:val="0098489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CF"/>
    <w:rsid w:val="009959F0"/>
    <w:rsid w:val="00995E6C"/>
    <w:rsid w:val="009960A1"/>
    <w:rsid w:val="00997AEC"/>
    <w:rsid w:val="009A0888"/>
    <w:rsid w:val="009A11BE"/>
    <w:rsid w:val="009A1C02"/>
    <w:rsid w:val="009A22DA"/>
    <w:rsid w:val="009A251D"/>
    <w:rsid w:val="009A25EE"/>
    <w:rsid w:val="009A32B6"/>
    <w:rsid w:val="009A49FC"/>
    <w:rsid w:val="009A53AE"/>
    <w:rsid w:val="009A5832"/>
    <w:rsid w:val="009A5AB6"/>
    <w:rsid w:val="009A751F"/>
    <w:rsid w:val="009A7E72"/>
    <w:rsid w:val="009A7F12"/>
    <w:rsid w:val="009B0657"/>
    <w:rsid w:val="009B15E0"/>
    <w:rsid w:val="009B1EFE"/>
    <w:rsid w:val="009B223F"/>
    <w:rsid w:val="009B2CDF"/>
    <w:rsid w:val="009B478E"/>
    <w:rsid w:val="009B5A46"/>
    <w:rsid w:val="009B67C5"/>
    <w:rsid w:val="009B71F4"/>
    <w:rsid w:val="009B720C"/>
    <w:rsid w:val="009B7AD3"/>
    <w:rsid w:val="009B7D1B"/>
    <w:rsid w:val="009C0264"/>
    <w:rsid w:val="009C02CC"/>
    <w:rsid w:val="009C1C66"/>
    <w:rsid w:val="009C3A2D"/>
    <w:rsid w:val="009C3B55"/>
    <w:rsid w:val="009C45FF"/>
    <w:rsid w:val="009C4FA7"/>
    <w:rsid w:val="009C649A"/>
    <w:rsid w:val="009C6BDC"/>
    <w:rsid w:val="009D0603"/>
    <w:rsid w:val="009D0B21"/>
    <w:rsid w:val="009D1843"/>
    <w:rsid w:val="009D4321"/>
    <w:rsid w:val="009D5E39"/>
    <w:rsid w:val="009D6199"/>
    <w:rsid w:val="009D63AE"/>
    <w:rsid w:val="009D7CB0"/>
    <w:rsid w:val="009E0604"/>
    <w:rsid w:val="009E30E3"/>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4188"/>
    <w:rsid w:val="00A04F56"/>
    <w:rsid w:val="00A06D0D"/>
    <w:rsid w:val="00A0736F"/>
    <w:rsid w:val="00A101D9"/>
    <w:rsid w:val="00A10AA1"/>
    <w:rsid w:val="00A10B1E"/>
    <w:rsid w:val="00A12EC7"/>
    <w:rsid w:val="00A1411E"/>
    <w:rsid w:val="00A14471"/>
    <w:rsid w:val="00A147AD"/>
    <w:rsid w:val="00A158AD"/>
    <w:rsid w:val="00A16E6F"/>
    <w:rsid w:val="00A21A9A"/>
    <w:rsid w:val="00A2304F"/>
    <w:rsid w:val="00A236DC"/>
    <w:rsid w:val="00A23C68"/>
    <w:rsid w:val="00A2564D"/>
    <w:rsid w:val="00A2568F"/>
    <w:rsid w:val="00A25A20"/>
    <w:rsid w:val="00A25F35"/>
    <w:rsid w:val="00A27AA4"/>
    <w:rsid w:val="00A301E7"/>
    <w:rsid w:val="00A30797"/>
    <w:rsid w:val="00A32019"/>
    <w:rsid w:val="00A324DB"/>
    <w:rsid w:val="00A32A47"/>
    <w:rsid w:val="00A355E9"/>
    <w:rsid w:val="00A35D8F"/>
    <w:rsid w:val="00A35F9C"/>
    <w:rsid w:val="00A366B7"/>
    <w:rsid w:val="00A37F9F"/>
    <w:rsid w:val="00A40A8C"/>
    <w:rsid w:val="00A43D09"/>
    <w:rsid w:val="00A43E4F"/>
    <w:rsid w:val="00A4515D"/>
    <w:rsid w:val="00A45186"/>
    <w:rsid w:val="00A451FE"/>
    <w:rsid w:val="00A4534B"/>
    <w:rsid w:val="00A457B6"/>
    <w:rsid w:val="00A473E1"/>
    <w:rsid w:val="00A4775E"/>
    <w:rsid w:val="00A52048"/>
    <w:rsid w:val="00A52D32"/>
    <w:rsid w:val="00A55188"/>
    <w:rsid w:val="00A566CD"/>
    <w:rsid w:val="00A56988"/>
    <w:rsid w:val="00A56B65"/>
    <w:rsid w:val="00A56DB2"/>
    <w:rsid w:val="00A57B22"/>
    <w:rsid w:val="00A614AD"/>
    <w:rsid w:val="00A61CED"/>
    <w:rsid w:val="00A63061"/>
    <w:rsid w:val="00A649C6"/>
    <w:rsid w:val="00A65F2E"/>
    <w:rsid w:val="00A6693F"/>
    <w:rsid w:val="00A6764B"/>
    <w:rsid w:val="00A70304"/>
    <w:rsid w:val="00A70B13"/>
    <w:rsid w:val="00A732D6"/>
    <w:rsid w:val="00A74192"/>
    <w:rsid w:val="00A760B5"/>
    <w:rsid w:val="00A81384"/>
    <w:rsid w:val="00A81F16"/>
    <w:rsid w:val="00A824A2"/>
    <w:rsid w:val="00A82D5E"/>
    <w:rsid w:val="00A84BCB"/>
    <w:rsid w:val="00A85F07"/>
    <w:rsid w:val="00A85FA6"/>
    <w:rsid w:val="00A86BFF"/>
    <w:rsid w:val="00A874E1"/>
    <w:rsid w:val="00A87B7D"/>
    <w:rsid w:val="00A91C99"/>
    <w:rsid w:val="00A91CCB"/>
    <w:rsid w:val="00A971B2"/>
    <w:rsid w:val="00A97841"/>
    <w:rsid w:val="00AA06AD"/>
    <w:rsid w:val="00AA116D"/>
    <w:rsid w:val="00AA4DAC"/>
    <w:rsid w:val="00AA5907"/>
    <w:rsid w:val="00AA62B6"/>
    <w:rsid w:val="00AA7EED"/>
    <w:rsid w:val="00AB0C7C"/>
    <w:rsid w:val="00AB1010"/>
    <w:rsid w:val="00AB118C"/>
    <w:rsid w:val="00AB269C"/>
    <w:rsid w:val="00AB4ED7"/>
    <w:rsid w:val="00AB6C9E"/>
    <w:rsid w:val="00AB7191"/>
    <w:rsid w:val="00AC07AD"/>
    <w:rsid w:val="00AC10E2"/>
    <w:rsid w:val="00AC38F9"/>
    <w:rsid w:val="00AC3E64"/>
    <w:rsid w:val="00AC5A02"/>
    <w:rsid w:val="00AC69A1"/>
    <w:rsid w:val="00AC7391"/>
    <w:rsid w:val="00AC7DB9"/>
    <w:rsid w:val="00AD17BB"/>
    <w:rsid w:val="00AD1DBB"/>
    <w:rsid w:val="00AD32C2"/>
    <w:rsid w:val="00AD3A0C"/>
    <w:rsid w:val="00AD3CC2"/>
    <w:rsid w:val="00AD3D63"/>
    <w:rsid w:val="00AD515A"/>
    <w:rsid w:val="00AD598D"/>
    <w:rsid w:val="00AD5BB6"/>
    <w:rsid w:val="00AD62F7"/>
    <w:rsid w:val="00AD6D15"/>
    <w:rsid w:val="00AD730F"/>
    <w:rsid w:val="00AD73F7"/>
    <w:rsid w:val="00AD76D5"/>
    <w:rsid w:val="00AE1269"/>
    <w:rsid w:val="00AE52A9"/>
    <w:rsid w:val="00AE710D"/>
    <w:rsid w:val="00AE7F75"/>
    <w:rsid w:val="00AF05AE"/>
    <w:rsid w:val="00AF096B"/>
    <w:rsid w:val="00AF1418"/>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26AB"/>
    <w:rsid w:val="00B132F8"/>
    <w:rsid w:val="00B13A7D"/>
    <w:rsid w:val="00B149C7"/>
    <w:rsid w:val="00B207A5"/>
    <w:rsid w:val="00B21E68"/>
    <w:rsid w:val="00B235F3"/>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59A"/>
    <w:rsid w:val="00B3669C"/>
    <w:rsid w:val="00B37E96"/>
    <w:rsid w:val="00B40877"/>
    <w:rsid w:val="00B416AB"/>
    <w:rsid w:val="00B42019"/>
    <w:rsid w:val="00B434DA"/>
    <w:rsid w:val="00B4366E"/>
    <w:rsid w:val="00B4595C"/>
    <w:rsid w:val="00B45AC9"/>
    <w:rsid w:val="00B4693B"/>
    <w:rsid w:val="00B47FC3"/>
    <w:rsid w:val="00B549D1"/>
    <w:rsid w:val="00B55A7C"/>
    <w:rsid w:val="00B563BB"/>
    <w:rsid w:val="00B567C8"/>
    <w:rsid w:val="00B5683A"/>
    <w:rsid w:val="00B57DC1"/>
    <w:rsid w:val="00B6195B"/>
    <w:rsid w:val="00B64396"/>
    <w:rsid w:val="00B645B8"/>
    <w:rsid w:val="00B659C7"/>
    <w:rsid w:val="00B66E18"/>
    <w:rsid w:val="00B6720B"/>
    <w:rsid w:val="00B713AF"/>
    <w:rsid w:val="00B7202D"/>
    <w:rsid w:val="00B72231"/>
    <w:rsid w:val="00B73265"/>
    <w:rsid w:val="00B73E7C"/>
    <w:rsid w:val="00B74E49"/>
    <w:rsid w:val="00B75543"/>
    <w:rsid w:val="00B75DA8"/>
    <w:rsid w:val="00B76155"/>
    <w:rsid w:val="00B77116"/>
    <w:rsid w:val="00B828B3"/>
    <w:rsid w:val="00B84356"/>
    <w:rsid w:val="00B85F2A"/>
    <w:rsid w:val="00B86912"/>
    <w:rsid w:val="00B86CF2"/>
    <w:rsid w:val="00B875A8"/>
    <w:rsid w:val="00B910D6"/>
    <w:rsid w:val="00B96362"/>
    <w:rsid w:val="00B966A2"/>
    <w:rsid w:val="00B969BD"/>
    <w:rsid w:val="00BA08E0"/>
    <w:rsid w:val="00BA1A23"/>
    <w:rsid w:val="00BA242B"/>
    <w:rsid w:val="00BA3F4C"/>
    <w:rsid w:val="00BA45F5"/>
    <w:rsid w:val="00BA4C2B"/>
    <w:rsid w:val="00BA58BF"/>
    <w:rsid w:val="00BA5B26"/>
    <w:rsid w:val="00BA5EE1"/>
    <w:rsid w:val="00BA67C3"/>
    <w:rsid w:val="00BA74CF"/>
    <w:rsid w:val="00BA7536"/>
    <w:rsid w:val="00BB0AAC"/>
    <w:rsid w:val="00BB0B0B"/>
    <w:rsid w:val="00BB3446"/>
    <w:rsid w:val="00BB47FD"/>
    <w:rsid w:val="00BB4DEC"/>
    <w:rsid w:val="00BB6355"/>
    <w:rsid w:val="00BB6DF2"/>
    <w:rsid w:val="00BB6ED5"/>
    <w:rsid w:val="00BC08D6"/>
    <w:rsid w:val="00BC0AD5"/>
    <w:rsid w:val="00BC28E5"/>
    <w:rsid w:val="00BC3CD4"/>
    <w:rsid w:val="00BC54A7"/>
    <w:rsid w:val="00BC5AE2"/>
    <w:rsid w:val="00BC651F"/>
    <w:rsid w:val="00BD2B36"/>
    <w:rsid w:val="00BD38BA"/>
    <w:rsid w:val="00BD40B1"/>
    <w:rsid w:val="00BD4262"/>
    <w:rsid w:val="00BD5A29"/>
    <w:rsid w:val="00BE0743"/>
    <w:rsid w:val="00BE0CA4"/>
    <w:rsid w:val="00BE2A6F"/>
    <w:rsid w:val="00BE484D"/>
    <w:rsid w:val="00BE5A64"/>
    <w:rsid w:val="00BE5F46"/>
    <w:rsid w:val="00BE69AB"/>
    <w:rsid w:val="00BE75E5"/>
    <w:rsid w:val="00BF04F9"/>
    <w:rsid w:val="00BF262F"/>
    <w:rsid w:val="00BF2DF5"/>
    <w:rsid w:val="00BF36B4"/>
    <w:rsid w:val="00BF50EA"/>
    <w:rsid w:val="00BF726E"/>
    <w:rsid w:val="00C0165D"/>
    <w:rsid w:val="00C01962"/>
    <w:rsid w:val="00C031A4"/>
    <w:rsid w:val="00C03A9B"/>
    <w:rsid w:val="00C05967"/>
    <w:rsid w:val="00C05D39"/>
    <w:rsid w:val="00C05E47"/>
    <w:rsid w:val="00C06375"/>
    <w:rsid w:val="00C06B10"/>
    <w:rsid w:val="00C06F57"/>
    <w:rsid w:val="00C07D6B"/>
    <w:rsid w:val="00C11201"/>
    <w:rsid w:val="00C11C96"/>
    <w:rsid w:val="00C12176"/>
    <w:rsid w:val="00C12E15"/>
    <w:rsid w:val="00C14618"/>
    <w:rsid w:val="00C147B4"/>
    <w:rsid w:val="00C17A5B"/>
    <w:rsid w:val="00C17CE0"/>
    <w:rsid w:val="00C229DA"/>
    <w:rsid w:val="00C23432"/>
    <w:rsid w:val="00C23536"/>
    <w:rsid w:val="00C23851"/>
    <w:rsid w:val="00C2429F"/>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4AA8"/>
    <w:rsid w:val="00C45784"/>
    <w:rsid w:val="00C462AD"/>
    <w:rsid w:val="00C51167"/>
    <w:rsid w:val="00C516B9"/>
    <w:rsid w:val="00C5438F"/>
    <w:rsid w:val="00C551A0"/>
    <w:rsid w:val="00C55E11"/>
    <w:rsid w:val="00C57E6F"/>
    <w:rsid w:val="00C57EC8"/>
    <w:rsid w:val="00C607C5"/>
    <w:rsid w:val="00C63214"/>
    <w:rsid w:val="00C64143"/>
    <w:rsid w:val="00C65124"/>
    <w:rsid w:val="00C651ED"/>
    <w:rsid w:val="00C6550B"/>
    <w:rsid w:val="00C66181"/>
    <w:rsid w:val="00C7002F"/>
    <w:rsid w:val="00C70722"/>
    <w:rsid w:val="00C7114A"/>
    <w:rsid w:val="00C717C2"/>
    <w:rsid w:val="00C71910"/>
    <w:rsid w:val="00C7469C"/>
    <w:rsid w:val="00C74ED5"/>
    <w:rsid w:val="00C75527"/>
    <w:rsid w:val="00C757A9"/>
    <w:rsid w:val="00C7635C"/>
    <w:rsid w:val="00C81CCF"/>
    <w:rsid w:val="00C82028"/>
    <w:rsid w:val="00C82193"/>
    <w:rsid w:val="00C84FD8"/>
    <w:rsid w:val="00C85A7B"/>
    <w:rsid w:val="00C85AA9"/>
    <w:rsid w:val="00C86AF8"/>
    <w:rsid w:val="00C8704A"/>
    <w:rsid w:val="00C87354"/>
    <w:rsid w:val="00C900B7"/>
    <w:rsid w:val="00C9066B"/>
    <w:rsid w:val="00C947DE"/>
    <w:rsid w:val="00C95409"/>
    <w:rsid w:val="00C96FEB"/>
    <w:rsid w:val="00C972AE"/>
    <w:rsid w:val="00C97D4D"/>
    <w:rsid w:val="00CA0708"/>
    <w:rsid w:val="00CA1E8E"/>
    <w:rsid w:val="00CA37DD"/>
    <w:rsid w:val="00CA4D7D"/>
    <w:rsid w:val="00CA5C9E"/>
    <w:rsid w:val="00CA724A"/>
    <w:rsid w:val="00CB0495"/>
    <w:rsid w:val="00CB1C10"/>
    <w:rsid w:val="00CB1E0C"/>
    <w:rsid w:val="00CB2067"/>
    <w:rsid w:val="00CB434A"/>
    <w:rsid w:val="00CB451D"/>
    <w:rsid w:val="00CB556B"/>
    <w:rsid w:val="00CB6545"/>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A38"/>
    <w:rsid w:val="00CD4791"/>
    <w:rsid w:val="00CD763C"/>
    <w:rsid w:val="00CE09B8"/>
    <w:rsid w:val="00CE0FAC"/>
    <w:rsid w:val="00CE1231"/>
    <w:rsid w:val="00CE16A8"/>
    <w:rsid w:val="00CE25E7"/>
    <w:rsid w:val="00CE35E0"/>
    <w:rsid w:val="00CE3C53"/>
    <w:rsid w:val="00CE5CAF"/>
    <w:rsid w:val="00CE6182"/>
    <w:rsid w:val="00CE6BA8"/>
    <w:rsid w:val="00CE74AD"/>
    <w:rsid w:val="00CF17C1"/>
    <w:rsid w:val="00CF4688"/>
    <w:rsid w:val="00CF49C8"/>
    <w:rsid w:val="00CF55CF"/>
    <w:rsid w:val="00CF700B"/>
    <w:rsid w:val="00D020FB"/>
    <w:rsid w:val="00D022BD"/>
    <w:rsid w:val="00D05592"/>
    <w:rsid w:val="00D06E5E"/>
    <w:rsid w:val="00D10487"/>
    <w:rsid w:val="00D11D0F"/>
    <w:rsid w:val="00D12C14"/>
    <w:rsid w:val="00D14327"/>
    <w:rsid w:val="00D14E18"/>
    <w:rsid w:val="00D204A3"/>
    <w:rsid w:val="00D20928"/>
    <w:rsid w:val="00D20CB0"/>
    <w:rsid w:val="00D21841"/>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EE9"/>
    <w:rsid w:val="00D33081"/>
    <w:rsid w:val="00D35132"/>
    <w:rsid w:val="00D35B64"/>
    <w:rsid w:val="00D35C31"/>
    <w:rsid w:val="00D36D61"/>
    <w:rsid w:val="00D403A4"/>
    <w:rsid w:val="00D40DE8"/>
    <w:rsid w:val="00D41136"/>
    <w:rsid w:val="00D41DC7"/>
    <w:rsid w:val="00D42E3E"/>
    <w:rsid w:val="00D43656"/>
    <w:rsid w:val="00D46119"/>
    <w:rsid w:val="00D51D00"/>
    <w:rsid w:val="00D524E2"/>
    <w:rsid w:val="00D54A80"/>
    <w:rsid w:val="00D54D38"/>
    <w:rsid w:val="00D550D7"/>
    <w:rsid w:val="00D554C0"/>
    <w:rsid w:val="00D55D91"/>
    <w:rsid w:val="00D56FDC"/>
    <w:rsid w:val="00D57BEC"/>
    <w:rsid w:val="00D60293"/>
    <w:rsid w:val="00D6072C"/>
    <w:rsid w:val="00D6095D"/>
    <w:rsid w:val="00D626F0"/>
    <w:rsid w:val="00D650C6"/>
    <w:rsid w:val="00D656C8"/>
    <w:rsid w:val="00D66874"/>
    <w:rsid w:val="00D679ED"/>
    <w:rsid w:val="00D700B3"/>
    <w:rsid w:val="00D70871"/>
    <w:rsid w:val="00D708ED"/>
    <w:rsid w:val="00D74082"/>
    <w:rsid w:val="00D74424"/>
    <w:rsid w:val="00D75074"/>
    <w:rsid w:val="00D76319"/>
    <w:rsid w:val="00D765D7"/>
    <w:rsid w:val="00D776D8"/>
    <w:rsid w:val="00D803F2"/>
    <w:rsid w:val="00D83A7E"/>
    <w:rsid w:val="00D8423E"/>
    <w:rsid w:val="00D845D6"/>
    <w:rsid w:val="00D84C4E"/>
    <w:rsid w:val="00D85E87"/>
    <w:rsid w:val="00D873A4"/>
    <w:rsid w:val="00D87BC1"/>
    <w:rsid w:val="00D87CC2"/>
    <w:rsid w:val="00D90DC5"/>
    <w:rsid w:val="00D913CE"/>
    <w:rsid w:val="00D9268B"/>
    <w:rsid w:val="00D92CC4"/>
    <w:rsid w:val="00D93676"/>
    <w:rsid w:val="00D94449"/>
    <w:rsid w:val="00D95432"/>
    <w:rsid w:val="00D969D2"/>
    <w:rsid w:val="00D96BEF"/>
    <w:rsid w:val="00DA3C75"/>
    <w:rsid w:val="00DA40B7"/>
    <w:rsid w:val="00DA4475"/>
    <w:rsid w:val="00DA4700"/>
    <w:rsid w:val="00DA49BD"/>
    <w:rsid w:val="00DA52CC"/>
    <w:rsid w:val="00DA744F"/>
    <w:rsid w:val="00DB0BFB"/>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0993"/>
    <w:rsid w:val="00DD159E"/>
    <w:rsid w:val="00DD1FB7"/>
    <w:rsid w:val="00DD2D5A"/>
    <w:rsid w:val="00DD3A8E"/>
    <w:rsid w:val="00DD4844"/>
    <w:rsid w:val="00DD7E2D"/>
    <w:rsid w:val="00DE0C7F"/>
    <w:rsid w:val="00DE2090"/>
    <w:rsid w:val="00DE236C"/>
    <w:rsid w:val="00DE2D4D"/>
    <w:rsid w:val="00DE333C"/>
    <w:rsid w:val="00DE5C17"/>
    <w:rsid w:val="00DE5DA3"/>
    <w:rsid w:val="00DE73E9"/>
    <w:rsid w:val="00DE7BBB"/>
    <w:rsid w:val="00DE7BE8"/>
    <w:rsid w:val="00DF17B5"/>
    <w:rsid w:val="00DF2054"/>
    <w:rsid w:val="00DF2F2E"/>
    <w:rsid w:val="00DF3264"/>
    <w:rsid w:val="00DF4214"/>
    <w:rsid w:val="00DF42ED"/>
    <w:rsid w:val="00DF4D03"/>
    <w:rsid w:val="00DF51FE"/>
    <w:rsid w:val="00DF591C"/>
    <w:rsid w:val="00DF7A12"/>
    <w:rsid w:val="00E002E2"/>
    <w:rsid w:val="00E046B6"/>
    <w:rsid w:val="00E046BB"/>
    <w:rsid w:val="00E05224"/>
    <w:rsid w:val="00E0567A"/>
    <w:rsid w:val="00E05B7D"/>
    <w:rsid w:val="00E0773C"/>
    <w:rsid w:val="00E119B7"/>
    <w:rsid w:val="00E11B8F"/>
    <w:rsid w:val="00E123F0"/>
    <w:rsid w:val="00E12A48"/>
    <w:rsid w:val="00E130DD"/>
    <w:rsid w:val="00E133B7"/>
    <w:rsid w:val="00E14245"/>
    <w:rsid w:val="00E142EB"/>
    <w:rsid w:val="00E14F89"/>
    <w:rsid w:val="00E15DF7"/>
    <w:rsid w:val="00E171EC"/>
    <w:rsid w:val="00E2147B"/>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449"/>
    <w:rsid w:val="00E32E3A"/>
    <w:rsid w:val="00E332DA"/>
    <w:rsid w:val="00E335A7"/>
    <w:rsid w:val="00E34ADB"/>
    <w:rsid w:val="00E4218D"/>
    <w:rsid w:val="00E4262D"/>
    <w:rsid w:val="00E4301F"/>
    <w:rsid w:val="00E440F7"/>
    <w:rsid w:val="00E4465A"/>
    <w:rsid w:val="00E45277"/>
    <w:rsid w:val="00E45D3A"/>
    <w:rsid w:val="00E46C80"/>
    <w:rsid w:val="00E47352"/>
    <w:rsid w:val="00E47A53"/>
    <w:rsid w:val="00E5083F"/>
    <w:rsid w:val="00E50B96"/>
    <w:rsid w:val="00E50E74"/>
    <w:rsid w:val="00E51442"/>
    <w:rsid w:val="00E52A62"/>
    <w:rsid w:val="00E52CA2"/>
    <w:rsid w:val="00E53555"/>
    <w:rsid w:val="00E53736"/>
    <w:rsid w:val="00E53E3D"/>
    <w:rsid w:val="00E553A0"/>
    <w:rsid w:val="00E55762"/>
    <w:rsid w:val="00E56063"/>
    <w:rsid w:val="00E5613F"/>
    <w:rsid w:val="00E60494"/>
    <w:rsid w:val="00E60E15"/>
    <w:rsid w:val="00E61F23"/>
    <w:rsid w:val="00E6214B"/>
    <w:rsid w:val="00E6240A"/>
    <w:rsid w:val="00E65A15"/>
    <w:rsid w:val="00E67A49"/>
    <w:rsid w:val="00E70900"/>
    <w:rsid w:val="00E70CF1"/>
    <w:rsid w:val="00E71868"/>
    <w:rsid w:val="00E7203C"/>
    <w:rsid w:val="00E739BC"/>
    <w:rsid w:val="00E73B2E"/>
    <w:rsid w:val="00E74473"/>
    <w:rsid w:val="00E75937"/>
    <w:rsid w:val="00E75FE2"/>
    <w:rsid w:val="00E763F7"/>
    <w:rsid w:val="00E7721C"/>
    <w:rsid w:val="00E77BA9"/>
    <w:rsid w:val="00E77BD6"/>
    <w:rsid w:val="00E80AA8"/>
    <w:rsid w:val="00E82E4E"/>
    <w:rsid w:val="00E844E0"/>
    <w:rsid w:val="00E852CA"/>
    <w:rsid w:val="00E86108"/>
    <w:rsid w:val="00E86ED1"/>
    <w:rsid w:val="00E87122"/>
    <w:rsid w:val="00E8736F"/>
    <w:rsid w:val="00E87880"/>
    <w:rsid w:val="00E90A0A"/>
    <w:rsid w:val="00E91B3B"/>
    <w:rsid w:val="00E91D1F"/>
    <w:rsid w:val="00E91E46"/>
    <w:rsid w:val="00E92AD3"/>
    <w:rsid w:val="00E92C63"/>
    <w:rsid w:val="00E94014"/>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B0375"/>
    <w:rsid w:val="00EB0892"/>
    <w:rsid w:val="00EB1A3A"/>
    <w:rsid w:val="00EB36D5"/>
    <w:rsid w:val="00EB3ECE"/>
    <w:rsid w:val="00EB435A"/>
    <w:rsid w:val="00EC02A2"/>
    <w:rsid w:val="00EC0F05"/>
    <w:rsid w:val="00EC16AB"/>
    <w:rsid w:val="00EC1C62"/>
    <w:rsid w:val="00EC3EC0"/>
    <w:rsid w:val="00EC5D9C"/>
    <w:rsid w:val="00EC65F5"/>
    <w:rsid w:val="00EC6ACA"/>
    <w:rsid w:val="00EC6B28"/>
    <w:rsid w:val="00EC6E76"/>
    <w:rsid w:val="00EC7613"/>
    <w:rsid w:val="00EC7C15"/>
    <w:rsid w:val="00EC7CFC"/>
    <w:rsid w:val="00ED08E5"/>
    <w:rsid w:val="00ED3B67"/>
    <w:rsid w:val="00ED489B"/>
    <w:rsid w:val="00ED60E7"/>
    <w:rsid w:val="00ED635F"/>
    <w:rsid w:val="00ED6E54"/>
    <w:rsid w:val="00ED6F45"/>
    <w:rsid w:val="00ED71E4"/>
    <w:rsid w:val="00ED7404"/>
    <w:rsid w:val="00EE02E7"/>
    <w:rsid w:val="00EE148B"/>
    <w:rsid w:val="00EE248A"/>
    <w:rsid w:val="00EE382B"/>
    <w:rsid w:val="00EE3A9C"/>
    <w:rsid w:val="00EE4E88"/>
    <w:rsid w:val="00EE5DBB"/>
    <w:rsid w:val="00EE6F4F"/>
    <w:rsid w:val="00EF0637"/>
    <w:rsid w:val="00EF0992"/>
    <w:rsid w:val="00EF1C9C"/>
    <w:rsid w:val="00EF2844"/>
    <w:rsid w:val="00EF2E1D"/>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5E71"/>
    <w:rsid w:val="00F0642F"/>
    <w:rsid w:val="00F064E0"/>
    <w:rsid w:val="00F066EB"/>
    <w:rsid w:val="00F06717"/>
    <w:rsid w:val="00F0705D"/>
    <w:rsid w:val="00F07E05"/>
    <w:rsid w:val="00F13B55"/>
    <w:rsid w:val="00F13CE6"/>
    <w:rsid w:val="00F13FCF"/>
    <w:rsid w:val="00F14202"/>
    <w:rsid w:val="00F150A5"/>
    <w:rsid w:val="00F15237"/>
    <w:rsid w:val="00F15887"/>
    <w:rsid w:val="00F15D69"/>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221D"/>
    <w:rsid w:val="00F32DA8"/>
    <w:rsid w:val="00F3354B"/>
    <w:rsid w:val="00F33C4F"/>
    <w:rsid w:val="00F342E4"/>
    <w:rsid w:val="00F36DFE"/>
    <w:rsid w:val="00F40B2D"/>
    <w:rsid w:val="00F41322"/>
    <w:rsid w:val="00F42338"/>
    <w:rsid w:val="00F435E9"/>
    <w:rsid w:val="00F4391F"/>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4C5A"/>
    <w:rsid w:val="00F74D71"/>
    <w:rsid w:val="00F759EA"/>
    <w:rsid w:val="00F75E37"/>
    <w:rsid w:val="00F76A27"/>
    <w:rsid w:val="00F814B6"/>
    <w:rsid w:val="00F81734"/>
    <w:rsid w:val="00F817B5"/>
    <w:rsid w:val="00F82DEA"/>
    <w:rsid w:val="00F82ED5"/>
    <w:rsid w:val="00F83C8B"/>
    <w:rsid w:val="00F847BC"/>
    <w:rsid w:val="00F84865"/>
    <w:rsid w:val="00F84D30"/>
    <w:rsid w:val="00F86F27"/>
    <w:rsid w:val="00F876AE"/>
    <w:rsid w:val="00F90621"/>
    <w:rsid w:val="00F91180"/>
    <w:rsid w:val="00F912B3"/>
    <w:rsid w:val="00F91470"/>
    <w:rsid w:val="00F9367E"/>
    <w:rsid w:val="00F94081"/>
    <w:rsid w:val="00F94834"/>
    <w:rsid w:val="00F9551C"/>
    <w:rsid w:val="00F96400"/>
    <w:rsid w:val="00F968A0"/>
    <w:rsid w:val="00F96D4C"/>
    <w:rsid w:val="00F972B3"/>
    <w:rsid w:val="00F97A37"/>
    <w:rsid w:val="00FA08C5"/>
    <w:rsid w:val="00FA3244"/>
    <w:rsid w:val="00FA400D"/>
    <w:rsid w:val="00FA49E4"/>
    <w:rsid w:val="00FA4AE2"/>
    <w:rsid w:val="00FA7A77"/>
    <w:rsid w:val="00FB0210"/>
    <w:rsid w:val="00FB132B"/>
    <w:rsid w:val="00FB21F8"/>
    <w:rsid w:val="00FB23AD"/>
    <w:rsid w:val="00FB30C3"/>
    <w:rsid w:val="00FB3442"/>
    <w:rsid w:val="00FB4BD1"/>
    <w:rsid w:val="00FB5725"/>
    <w:rsid w:val="00FB6F06"/>
    <w:rsid w:val="00FB778E"/>
    <w:rsid w:val="00FB7E0B"/>
    <w:rsid w:val="00FC041D"/>
    <w:rsid w:val="00FC0A46"/>
    <w:rsid w:val="00FC16FC"/>
    <w:rsid w:val="00FC191A"/>
    <w:rsid w:val="00FC1D53"/>
    <w:rsid w:val="00FC2996"/>
    <w:rsid w:val="00FC3D97"/>
    <w:rsid w:val="00FC4D74"/>
    <w:rsid w:val="00FC56E3"/>
    <w:rsid w:val="00FC59D2"/>
    <w:rsid w:val="00FC6B32"/>
    <w:rsid w:val="00FC7A10"/>
    <w:rsid w:val="00FD226B"/>
    <w:rsid w:val="00FD3AE2"/>
    <w:rsid w:val="00FD3E68"/>
    <w:rsid w:val="00FD528A"/>
    <w:rsid w:val="00FD61F3"/>
    <w:rsid w:val="00FD7507"/>
    <w:rsid w:val="00FD7B5B"/>
    <w:rsid w:val="00FE0BF5"/>
    <w:rsid w:val="00FE2C21"/>
    <w:rsid w:val="00FE3D04"/>
    <w:rsid w:val="00FE4B58"/>
    <w:rsid w:val="00FE4C19"/>
    <w:rsid w:val="00FE6D7C"/>
    <w:rsid w:val="00FE6E67"/>
    <w:rsid w:val="00FF0132"/>
    <w:rsid w:val="00FF1209"/>
    <w:rsid w:val="00FF1F0B"/>
    <w:rsid w:val="00FF2822"/>
    <w:rsid w:val="00FF444F"/>
    <w:rsid w:val="00FF4C12"/>
    <w:rsid w:val="00FF6AB9"/>
    <w:rsid w:val="00FF75ED"/>
    <w:rsid w:val="041D5754"/>
    <w:rsid w:val="042794BE"/>
    <w:rsid w:val="06647003"/>
    <w:rsid w:val="07AEBBF6"/>
    <w:rsid w:val="0AB5E2F6"/>
    <w:rsid w:val="0CF5CBFF"/>
    <w:rsid w:val="0D9D0F24"/>
    <w:rsid w:val="0EC329A3"/>
    <w:rsid w:val="10127122"/>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922900B1-CB25-43AD-B107-4BE7279D3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5EFEBD12-FA2F-426A-8CA7-321E612BA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9177</TotalTime>
  <Pages>6</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437</cp:revision>
  <cp:lastPrinted>2002-04-23T17:10:00Z</cp:lastPrinted>
  <dcterms:created xsi:type="dcterms:W3CDTF">2021-10-02T01:23:00Z</dcterms:created>
  <dcterms:modified xsi:type="dcterms:W3CDTF">2022-04-29T16:11:00Z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